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D9E" w:rsidRPr="00E36072" w:rsidRDefault="00137F2C" w:rsidP="00E36072">
      <w:pPr>
        <w:pStyle w:val="FrontPageSmall"/>
      </w:pPr>
      <w:r>
        <w:t>Januar 2015</w:t>
      </w:r>
    </w:p>
    <w:p w:rsidR="0001439D" w:rsidRPr="007A0016" w:rsidRDefault="002E61D0" w:rsidP="00E36072">
      <w:pPr>
        <w:pStyle w:val="FrontPageSmall"/>
      </w:pPr>
      <w:r>
        <w:t>Svendborg kommune</w:t>
      </w:r>
    </w:p>
    <w:tbl>
      <w:tblPr>
        <w:tblStyle w:val="Tabel-Git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4A0" w:firstRow="1" w:lastRow="0" w:firstColumn="1" w:lastColumn="0" w:noHBand="0" w:noVBand="1"/>
      </w:tblPr>
      <w:tblGrid>
        <w:gridCol w:w="2722"/>
        <w:gridCol w:w="2722"/>
        <w:gridCol w:w="2722"/>
        <w:gridCol w:w="2835"/>
      </w:tblGrid>
      <w:tr w:rsidR="00125409" w:rsidRPr="00BC16C5" w:rsidTr="004E7545">
        <w:trPr>
          <w:trHeight w:hRule="exact" w:val="652"/>
          <w:jc w:val="right"/>
        </w:trPr>
        <w:tc>
          <w:tcPr>
            <w:tcW w:w="2722" w:type="dxa"/>
          </w:tcPr>
          <w:p w:rsidR="00125409" w:rsidRPr="00BC16C5" w:rsidRDefault="00125409" w:rsidP="00125409">
            <w:pPr>
              <w:pStyle w:val="FooterCowiLogo"/>
              <w:framePr w:wrap="around" w:x="886" w:y="15480" w:anchorLock="1"/>
              <w:jc w:val="right"/>
            </w:pPr>
          </w:p>
        </w:tc>
        <w:tc>
          <w:tcPr>
            <w:tcW w:w="2722" w:type="dxa"/>
          </w:tcPr>
          <w:p w:rsidR="00125409" w:rsidRPr="00BC16C5" w:rsidRDefault="00125409" w:rsidP="00125409">
            <w:pPr>
              <w:pStyle w:val="FooterCowiLogo"/>
              <w:framePr w:wrap="around" w:x="886" w:y="15480" w:anchorLock="1"/>
              <w:jc w:val="right"/>
            </w:pPr>
          </w:p>
        </w:tc>
        <w:tc>
          <w:tcPr>
            <w:tcW w:w="2722" w:type="dxa"/>
          </w:tcPr>
          <w:p w:rsidR="00125409" w:rsidRPr="00BC16C5" w:rsidRDefault="00125409" w:rsidP="00125409">
            <w:pPr>
              <w:pStyle w:val="FooterCowiLogo"/>
              <w:framePr w:wrap="around" w:x="886" w:y="15480" w:anchorLock="1"/>
              <w:jc w:val="right"/>
            </w:pPr>
          </w:p>
        </w:tc>
        <w:tc>
          <w:tcPr>
            <w:tcW w:w="2835" w:type="dxa"/>
            <w:tcMar>
              <w:right w:w="680" w:type="dxa"/>
            </w:tcMar>
          </w:tcPr>
          <w:p w:rsidR="00125409" w:rsidRPr="00BC16C5" w:rsidRDefault="00125409" w:rsidP="00125409">
            <w:pPr>
              <w:pStyle w:val="FooterCowiLogo"/>
              <w:framePr w:wrap="around" w:x="886" w:y="15480" w:anchorLock="1"/>
              <w:jc w:val="right"/>
            </w:pPr>
            <w:r w:rsidRPr="00BC16C5">
              <w:drawing>
                <wp:inline distT="0" distB="0" distL="0" distR="0" wp14:anchorId="6AECB7B7" wp14:editId="1650E703">
                  <wp:extent cx="1360800" cy="41040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00" cy="410400"/>
                          </a:xfrm>
                          <a:prstGeom prst="rect">
                            <a:avLst/>
                          </a:prstGeom>
                        </pic:spPr>
                      </pic:pic>
                    </a:graphicData>
                  </a:graphic>
                </wp:inline>
              </w:drawing>
            </w:r>
          </w:p>
        </w:tc>
      </w:tr>
    </w:tbl>
    <w:p w:rsidR="00125409" w:rsidRPr="00BC16C5" w:rsidRDefault="00125409" w:rsidP="00125409">
      <w:pPr>
        <w:pStyle w:val="FooterCowiLogo"/>
        <w:framePr w:wrap="around" w:x="886" w:y="15480" w:anchorLock="1"/>
      </w:pPr>
    </w:p>
    <w:p w:rsidR="0001439D" w:rsidRPr="00D07C30" w:rsidRDefault="005D49EA" w:rsidP="006E7875">
      <w:pPr>
        <w:pStyle w:val="FrontPage"/>
      </w:pPr>
      <w:r>
        <w:t xml:space="preserve">udskiftning af vindmøller </w:t>
      </w:r>
      <w:r w:rsidR="00D7683B">
        <w:t>ved skiftekær,</w:t>
      </w:r>
      <w:r>
        <w:t xml:space="preserve"> Tåsinge</w:t>
      </w:r>
    </w:p>
    <w:p w:rsidR="0001439D" w:rsidRPr="00D07C30" w:rsidRDefault="002E61D0" w:rsidP="00E36072">
      <w:pPr>
        <w:pStyle w:val="FrontPageSmall"/>
      </w:pPr>
      <w:r>
        <w:t>Natura 2000-Væsentlighedsvurdering</w:t>
      </w:r>
    </w:p>
    <w:p w:rsidR="0001439D" w:rsidRPr="00D07C30" w:rsidRDefault="0001439D" w:rsidP="00D07C30">
      <w:pPr>
        <w:pStyle w:val="FrontPageImage"/>
      </w:pPr>
    </w:p>
    <w:p w:rsidR="0001439D" w:rsidRPr="00D07C30" w:rsidRDefault="0001439D">
      <w:pPr>
        <w:pStyle w:val="FrontPageImage"/>
        <w:sectPr w:rsidR="0001439D" w:rsidRPr="00D07C30" w:rsidSect="005E7064">
          <w:headerReference w:type="default" r:id="rId12"/>
          <w:type w:val="oddPage"/>
          <w:pgSz w:w="11907" w:h="16840" w:code="9"/>
          <w:pgMar w:top="1134" w:right="2552" w:bottom="2041" w:left="1418" w:header="851" w:footer="369" w:gutter="0"/>
          <w:pgNumType w:start="1"/>
          <w:cols w:space="708"/>
        </w:sectPr>
      </w:pPr>
    </w:p>
    <w:p w:rsidR="00274A61" w:rsidRPr="00D07C30" w:rsidRDefault="00274A61" w:rsidP="00487513">
      <w:pPr>
        <w:pStyle w:val="HeaderCowiLogo"/>
        <w:framePr w:wrap="around"/>
      </w:pPr>
      <w:r w:rsidRPr="00D07C30">
        <w:lastRenderedPageBreak/>
        <w:drawing>
          <wp:inline distT="0" distB="0" distL="0" distR="0" wp14:anchorId="38BB1790" wp14:editId="7C83AF00">
            <wp:extent cx="1360831" cy="41004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31" cy="410040"/>
                    </a:xfrm>
                    <a:prstGeom prst="rect">
                      <a:avLst/>
                    </a:prstGeom>
                  </pic:spPr>
                </pic:pic>
              </a:graphicData>
            </a:graphic>
          </wp:inline>
        </w:drawing>
      </w:r>
      <w:r w:rsidRPr="00D07C30">
        <w:t xml:space="preserve"> </w:t>
      </w:r>
    </w:p>
    <w:p w:rsidR="00274A61" w:rsidRDefault="002E61D0" w:rsidP="00487513">
      <w:pPr>
        <w:pStyle w:val="HeaderCowiAddress"/>
        <w:framePr w:wrap="around"/>
      </w:pPr>
      <w:r w:rsidRPr="002E61D0">
        <w:rPr>
          <w:rStyle w:val="CowiLabel"/>
        </w:rPr>
        <w:tab/>
        <w:t>Adresse</w:t>
      </w:r>
      <w:r w:rsidRPr="002E61D0">
        <w:tab/>
        <w:t>COWI A/S</w:t>
      </w:r>
      <w:r>
        <w:br/>
        <w:t>Parallelvej 2</w:t>
      </w:r>
      <w:r>
        <w:br/>
        <w:t>2800 Kongens Lyngby</w:t>
      </w:r>
    </w:p>
    <w:p w:rsidR="002E61D0" w:rsidRDefault="002E61D0" w:rsidP="00487513">
      <w:pPr>
        <w:pStyle w:val="HeaderCowiAddress"/>
        <w:framePr w:wrap="around"/>
      </w:pPr>
    </w:p>
    <w:p w:rsidR="002E61D0" w:rsidRDefault="002E61D0" w:rsidP="00487513">
      <w:pPr>
        <w:pStyle w:val="HeaderCowiAddress"/>
        <w:framePr w:wrap="around"/>
      </w:pPr>
      <w:r w:rsidRPr="002E61D0">
        <w:rPr>
          <w:rStyle w:val="CowiLabel"/>
        </w:rPr>
        <w:tab/>
        <w:t>Tlf</w:t>
      </w:r>
      <w:r w:rsidRPr="002E61D0">
        <w:tab/>
        <w:t>+45 56 40 00 00</w:t>
      </w:r>
    </w:p>
    <w:p w:rsidR="002E61D0" w:rsidRDefault="002E61D0" w:rsidP="00487513">
      <w:pPr>
        <w:pStyle w:val="HeaderCowiAddress"/>
        <w:framePr w:wrap="around"/>
      </w:pPr>
      <w:r w:rsidRPr="002E61D0">
        <w:rPr>
          <w:rStyle w:val="CowiLabel"/>
        </w:rPr>
        <w:tab/>
        <w:t>Fax</w:t>
      </w:r>
      <w:r w:rsidRPr="002E61D0">
        <w:tab/>
        <w:t>+45 56 40 99 99</w:t>
      </w:r>
    </w:p>
    <w:p w:rsidR="002E61D0" w:rsidRPr="00D07C30" w:rsidRDefault="002E61D0" w:rsidP="00487513">
      <w:pPr>
        <w:pStyle w:val="HeaderCowiAddress"/>
        <w:framePr w:wrap="around"/>
      </w:pPr>
      <w:r w:rsidRPr="002E61D0">
        <w:rPr>
          <w:rStyle w:val="CowiLabel"/>
        </w:rPr>
        <w:tab/>
        <w:t>www</w:t>
      </w:r>
      <w:r w:rsidRPr="002E61D0">
        <w:tab/>
        <w:t>cowi.dk</w:t>
      </w:r>
    </w:p>
    <w:p w:rsidR="00274A61" w:rsidRPr="00D07C30" w:rsidRDefault="002E61D0" w:rsidP="005F7D4D">
      <w:pPr>
        <w:pStyle w:val="FrontPageFrame"/>
        <w:framePr w:wrap="around"/>
      </w:pPr>
      <w:r>
        <w:rPr>
          <w:rStyle w:val="CowiLabel"/>
        </w:rPr>
        <w:t>Projektnr.</w:t>
      </w:r>
      <w:r w:rsidR="00274A61" w:rsidRPr="00D07C30">
        <w:tab/>
      </w:r>
      <w:r w:rsidR="00EA335A">
        <w:t>A065391</w:t>
      </w:r>
    </w:p>
    <w:p w:rsidR="00274A61" w:rsidRPr="00D07C30" w:rsidRDefault="002E61D0" w:rsidP="005F7D4D">
      <w:pPr>
        <w:pStyle w:val="FrontPageFrame"/>
        <w:framePr w:wrap="around"/>
      </w:pPr>
      <w:r>
        <w:rPr>
          <w:rStyle w:val="CowiLabel"/>
        </w:rPr>
        <w:t>Dokumentnr.</w:t>
      </w:r>
      <w:r w:rsidR="00274A61" w:rsidRPr="00D07C30">
        <w:tab/>
      </w:r>
      <w:r w:rsidR="00EA335A">
        <w:t>1</w:t>
      </w:r>
    </w:p>
    <w:p w:rsidR="00274A61" w:rsidRPr="00D07C30" w:rsidRDefault="002E61D0" w:rsidP="005F7D4D">
      <w:pPr>
        <w:pStyle w:val="FrontPageFrame"/>
        <w:framePr w:wrap="around"/>
      </w:pPr>
      <w:r>
        <w:rPr>
          <w:rStyle w:val="CowiLabel"/>
        </w:rPr>
        <w:t>Version</w:t>
      </w:r>
      <w:r w:rsidR="00274A61" w:rsidRPr="00D07C30">
        <w:tab/>
      </w:r>
      <w:r w:rsidR="00137F2C">
        <w:t>1</w:t>
      </w:r>
    </w:p>
    <w:p w:rsidR="00274A61" w:rsidRPr="00D07C30" w:rsidRDefault="002E61D0" w:rsidP="005F7D4D">
      <w:pPr>
        <w:pStyle w:val="FrontPageFrame"/>
        <w:framePr w:wrap="around"/>
      </w:pPr>
      <w:r>
        <w:rPr>
          <w:rStyle w:val="CowiLabel"/>
        </w:rPr>
        <w:t>Udgivelsesdato</w:t>
      </w:r>
      <w:r w:rsidR="00274A61" w:rsidRPr="00D07C30">
        <w:tab/>
      </w:r>
      <w:r w:rsidR="00137F2C">
        <w:t>Januar 2015</w:t>
      </w:r>
    </w:p>
    <w:p w:rsidR="00274A61" w:rsidRPr="00D07C30" w:rsidRDefault="002E61D0" w:rsidP="005F7D4D">
      <w:pPr>
        <w:pStyle w:val="FrontPageFrame"/>
        <w:framePr w:wrap="around"/>
      </w:pPr>
      <w:r>
        <w:rPr>
          <w:rStyle w:val="CowiLabel"/>
        </w:rPr>
        <w:t>Udarbejdet</w:t>
      </w:r>
      <w:r w:rsidR="00274A61" w:rsidRPr="00D07C30">
        <w:tab/>
      </w:r>
      <w:r w:rsidR="00D7683B">
        <w:t>ASTH, SBJ</w:t>
      </w:r>
    </w:p>
    <w:p w:rsidR="00274A61" w:rsidRPr="00D07C30" w:rsidRDefault="002E61D0" w:rsidP="005F7D4D">
      <w:pPr>
        <w:pStyle w:val="FrontPageFrame"/>
        <w:framePr w:wrap="around"/>
      </w:pPr>
      <w:r>
        <w:rPr>
          <w:rStyle w:val="CowiLabel"/>
        </w:rPr>
        <w:t>Kontrolleret</w:t>
      </w:r>
      <w:r w:rsidR="00274A61" w:rsidRPr="00D07C30">
        <w:tab/>
      </w:r>
      <w:r w:rsidR="00D7683B">
        <w:t>UKJ, SBJ</w:t>
      </w:r>
    </w:p>
    <w:p w:rsidR="00274A61" w:rsidRPr="00D07C30" w:rsidRDefault="002E61D0" w:rsidP="005F7D4D">
      <w:pPr>
        <w:pStyle w:val="FrontPageFrame"/>
        <w:framePr w:wrap="around"/>
      </w:pPr>
      <w:r>
        <w:rPr>
          <w:rStyle w:val="CowiLabel"/>
        </w:rPr>
        <w:t>Godkendt</w:t>
      </w:r>
      <w:r w:rsidR="00274A61" w:rsidRPr="00D07C30">
        <w:tab/>
      </w:r>
      <w:r w:rsidR="000410ED">
        <w:t>SLA</w:t>
      </w:r>
    </w:p>
    <w:p w:rsidR="00201D9E" w:rsidRPr="00D07C30" w:rsidRDefault="00137F2C" w:rsidP="00E36072">
      <w:pPr>
        <w:pStyle w:val="FrontPageSmall"/>
      </w:pPr>
      <w:r>
        <w:t>januar 2015</w:t>
      </w:r>
    </w:p>
    <w:p w:rsidR="0001439D" w:rsidRPr="00D07C30" w:rsidRDefault="002E61D0" w:rsidP="00E36072">
      <w:pPr>
        <w:pStyle w:val="FrontPageSmall"/>
      </w:pPr>
      <w:r>
        <w:t>Svendborg kommune</w:t>
      </w:r>
    </w:p>
    <w:p w:rsidR="0001439D" w:rsidRPr="003D6702" w:rsidRDefault="002E61D0" w:rsidP="00E36072">
      <w:pPr>
        <w:pStyle w:val="CowiTitle"/>
      </w:pPr>
      <w:r>
        <w:t>udskiftning af vindmøller</w:t>
      </w:r>
      <w:r w:rsidR="00D7683B">
        <w:t xml:space="preserve"> ved skiftekær,</w:t>
      </w:r>
      <w:r w:rsidR="003D6702">
        <w:t xml:space="preserve"> Tåsinge</w:t>
      </w:r>
    </w:p>
    <w:p w:rsidR="0001439D" w:rsidRPr="00D07C30" w:rsidRDefault="002E61D0" w:rsidP="00E36072">
      <w:pPr>
        <w:pStyle w:val="FrontPageSmall"/>
      </w:pPr>
      <w:r>
        <w:t>Natura 2000-Væsentlighedsvurdering</w:t>
      </w:r>
    </w:p>
    <w:p w:rsidR="0001439D" w:rsidRPr="00D07C30" w:rsidRDefault="0001439D">
      <w:pPr>
        <w:pStyle w:val="Brdtekst"/>
      </w:pPr>
    </w:p>
    <w:p w:rsidR="0001439D" w:rsidRPr="00D07C30" w:rsidRDefault="0001439D">
      <w:pPr>
        <w:pStyle w:val="Brdtekst"/>
        <w:sectPr w:rsidR="0001439D" w:rsidRPr="00D07C30" w:rsidSect="005E7064">
          <w:headerReference w:type="default" r:id="rId13"/>
          <w:footerReference w:type="default" r:id="rId14"/>
          <w:type w:val="oddPage"/>
          <w:pgSz w:w="11907" w:h="16840" w:code="9"/>
          <w:pgMar w:top="4820" w:right="2552" w:bottom="1134" w:left="1418" w:header="567" w:footer="369" w:gutter="0"/>
          <w:cols w:space="708"/>
          <w:docGrid w:linePitch="299"/>
        </w:sectPr>
      </w:pPr>
    </w:p>
    <w:p w:rsidR="0001439D" w:rsidRPr="00D07C30" w:rsidRDefault="002E61D0" w:rsidP="008306AB">
      <w:pPr>
        <w:pStyle w:val="ContentsPage"/>
      </w:pPr>
      <w:r>
        <w:lastRenderedPageBreak/>
        <w:t>Indhold</w:t>
      </w:r>
    </w:p>
    <w:p w:rsidR="00AB41CA" w:rsidRDefault="00E50380">
      <w:pPr>
        <w:pStyle w:val="Indholdsfortegnelse1"/>
        <w:rPr>
          <w:rFonts w:asciiTheme="minorHAnsi" w:eastAsiaTheme="minorEastAsia" w:hAnsiTheme="minorHAnsi" w:cstheme="minorBidi"/>
          <w:sz w:val="22"/>
          <w:szCs w:val="22"/>
        </w:rPr>
      </w:pPr>
      <w:r w:rsidRPr="00D07C30">
        <w:rPr>
          <w:rFonts w:ascii="Verdana" w:hAnsi="Verdana"/>
        </w:rPr>
        <w:fldChar w:fldCharType="begin"/>
      </w:r>
      <w:r w:rsidRPr="00D07C30">
        <w:instrText xml:space="preserve"> TOC \o "1-2"</w:instrText>
      </w:r>
      <w:r w:rsidR="001E1478" w:rsidRPr="00D07C30">
        <w:instrText xml:space="preserve"> \h</w:instrText>
      </w:r>
      <w:r w:rsidRPr="00D07C30">
        <w:instrText xml:space="preserve"> </w:instrText>
      </w:r>
      <w:r w:rsidRPr="00D07C30">
        <w:rPr>
          <w:rFonts w:ascii="Verdana" w:hAnsi="Verdana"/>
        </w:rPr>
        <w:fldChar w:fldCharType="separate"/>
      </w:r>
      <w:hyperlink w:anchor="_Toc408406230" w:history="1">
        <w:r w:rsidR="00AB41CA" w:rsidRPr="00C203A6">
          <w:rPr>
            <w:rStyle w:val="Hyperlink"/>
          </w:rPr>
          <w:t>1</w:t>
        </w:r>
        <w:r w:rsidR="00AB41CA">
          <w:rPr>
            <w:rFonts w:asciiTheme="minorHAnsi" w:eastAsiaTheme="minorEastAsia" w:hAnsiTheme="minorHAnsi" w:cstheme="minorBidi"/>
            <w:sz w:val="22"/>
            <w:szCs w:val="22"/>
          </w:rPr>
          <w:tab/>
        </w:r>
        <w:r w:rsidR="00AB41CA" w:rsidRPr="00C203A6">
          <w:rPr>
            <w:rStyle w:val="Hyperlink"/>
          </w:rPr>
          <w:t>Baggrund</w:t>
        </w:r>
        <w:r w:rsidR="00AB41CA">
          <w:tab/>
        </w:r>
        <w:r w:rsidR="00AB41CA">
          <w:fldChar w:fldCharType="begin"/>
        </w:r>
        <w:r w:rsidR="00AB41CA">
          <w:instrText xml:space="preserve"> PAGEREF _Toc408406230 \h </w:instrText>
        </w:r>
        <w:r w:rsidR="00AB41CA">
          <w:fldChar w:fldCharType="separate"/>
        </w:r>
        <w:r w:rsidR="00DA536A">
          <w:t>7</w:t>
        </w:r>
        <w:r w:rsidR="00AB41CA">
          <w:fldChar w:fldCharType="end"/>
        </w:r>
      </w:hyperlink>
    </w:p>
    <w:p w:rsidR="00AB41CA" w:rsidRDefault="001D628E">
      <w:pPr>
        <w:pStyle w:val="Indholdsfortegnelse2"/>
        <w:rPr>
          <w:rFonts w:asciiTheme="minorHAnsi" w:eastAsiaTheme="minorEastAsia" w:hAnsiTheme="minorHAnsi" w:cstheme="minorBidi"/>
          <w:color w:val="auto"/>
          <w:sz w:val="22"/>
          <w:szCs w:val="22"/>
        </w:rPr>
      </w:pPr>
      <w:hyperlink w:anchor="_Toc408406231" w:history="1">
        <w:r w:rsidR="00AB41CA" w:rsidRPr="00C203A6">
          <w:rPr>
            <w:rStyle w:val="Hyperlink"/>
          </w:rPr>
          <w:t>1.1</w:t>
        </w:r>
        <w:r w:rsidR="00AB41CA">
          <w:rPr>
            <w:rFonts w:asciiTheme="minorHAnsi" w:eastAsiaTheme="minorEastAsia" w:hAnsiTheme="minorHAnsi" w:cstheme="minorBidi"/>
            <w:color w:val="auto"/>
            <w:sz w:val="22"/>
            <w:szCs w:val="22"/>
          </w:rPr>
          <w:tab/>
        </w:r>
        <w:r w:rsidR="00AB41CA" w:rsidRPr="00C203A6">
          <w:rPr>
            <w:rStyle w:val="Hyperlink"/>
          </w:rPr>
          <w:t>Etablering af nye vindmøller på Tåsinge</w:t>
        </w:r>
        <w:r w:rsidR="00AB41CA">
          <w:tab/>
        </w:r>
        <w:r w:rsidR="00AB41CA">
          <w:fldChar w:fldCharType="begin"/>
        </w:r>
        <w:r w:rsidR="00AB41CA">
          <w:instrText xml:space="preserve"> PAGEREF _Toc408406231 \h </w:instrText>
        </w:r>
        <w:r w:rsidR="00AB41CA">
          <w:fldChar w:fldCharType="separate"/>
        </w:r>
        <w:r w:rsidR="00DA536A">
          <w:t>7</w:t>
        </w:r>
        <w:r w:rsidR="00AB41CA">
          <w:fldChar w:fldCharType="end"/>
        </w:r>
      </w:hyperlink>
    </w:p>
    <w:p w:rsidR="00AB41CA" w:rsidRDefault="001D628E">
      <w:pPr>
        <w:pStyle w:val="Indholdsfortegnelse2"/>
        <w:rPr>
          <w:rFonts w:asciiTheme="minorHAnsi" w:eastAsiaTheme="minorEastAsia" w:hAnsiTheme="minorHAnsi" w:cstheme="minorBidi"/>
          <w:color w:val="auto"/>
          <w:sz w:val="22"/>
          <w:szCs w:val="22"/>
        </w:rPr>
      </w:pPr>
      <w:hyperlink w:anchor="_Toc408406232" w:history="1">
        <w:r w:rsidR="00AB41CA" w:rsidRPr="00C203A6">
          <w:rPr>
            <w:rStyle w:val="Hyperlink"/>
          </w:rPr>
          <w:t>1.2</w:t>
        </w:r>
        <w:r w:rsidR="00AB41CA">
          <w:rPr>
            <w:rFonts w:asciiTheme="minorHAnsi" w:eastAsiaTheme="minorEastAsia" w:hAnsiTheme="minorHAnsi" w:cstheme="minorBidi"/>
            <w:color w:val="auto"/>
            <w:sz w:val="22"/>
            <w:szCs w:val="22"/>
          </w:rPr>
          <w:tab/>
        </w:r>
        <w:r w:rsidR="00AB41CA" w:rsidRPr="00C203A6">
          <w:rPr>
            <w:rStyle w:val="Hyperlink"/>
          </w:rPr>
          <w:t>Forholdet til Natura 2000-reglerne</w:t>
        </w:r>
        <w:r w:rsidR="00AB41CA">
          <w:tab/>
        </w:r>
        <w:r w:rsidR="00AB41CA">
          <w:fldChar w:fldCharType="begin"/>
        </w:r>
        <w:r w:rsidR="00AB41CA">
          <w:instrText xml:space="preserve"> PAGEREF _Toc408406232 \h </w:instrText>
        </w:r>
        <w:r w:rsidR="00AB41CA">
          <w:fldChar w:fldCharType="separate"/>
        </w:r>
        <w:r w:rsidR="00DA536A">
          <w:t>7</w:t>
        </w:r>
        <w:r w:rsidR="00AB41CA">
          <w:fldChar w:fldCharType="end"/>
        </w:r>
      </w:hyperlink>
    </w:p>
    <w:p w:rsidR="00AB41CA" w:rsidRDefault="001D628E">
      <w:pPr>
        <w:pStyle w:val="Indholdsfortegnelse1"/>
        <w:rPr>
          <w:rFonts w:asciiTheme="minorHAnsi" w:eastAsiaTheme="minorEastAsia" w:hAnsiTheme="minorHAnsi" w:cstheme="minorBidi"/>
          <w:sz w:val="22"/>
          <w:szCs w:val="22"/>
        </w:rPr>
      </w:pPr>
      <w:hyperlink w:anchor="_Toc408406233" w:history="1">
        <w:r w:rsidR="00AB41CA" w:rsidRPr="00C203A6">
          <w:rPr>
            <w:rStyle w:val="Hyperlink"/>
          </w:rPr>
          <w:t>2</w:t>
        </w:r>
        <w:r w:rsidR="00AB41CA">
          <w:rPr>
            <w:rFonts w:asciiTheme="minorHAnsi" w:eastAsiaTheme="minorEastAsia" w:hAnsiTheme="minorHAnsi" w:cstheme="minorBidi"/>
            <w:sz w:val="22"/>
            <w:szCs w:val="22"/>
          </w:rPr>
          <w:tab/>
        </w:r>
        <w:r w:rsidR="00AB41CA" w:rsidRPr="00C203A6">
          <w:rPr>
            <w:rStyle w:val="Hyperlink"/>
          </w:rPr>
          <w:t>Udskiftning af vindmøller på Tåsinge</w:t>
        </w:r>
        <w:r w:rsidR="00AB41CA">
          <w:tab/>
        </w:r>
        <w:r w:rsidR="00AB41CA">
          <w:fldChar w:fldCharType="begin"/>
        </w:r>
        <w:r w:rsidR="00AB41CA">
          <w:instrText xml:space="preserve"> PAGEREF _Toc408406233 \h </w:instrText>
        </w:r>
        <w:r w:rsidR="00AB41CA">
          <w:fldChar w:fldCharType="separate"/>
        </w:r>
        <w:r w:rsidR="00DA536A">
          <w:t>10</w:t>
        </w:r>
        <w:r w:rsidR="00AB41CA">
          <w:fldChar w:fldCharType="end"/>
        </w:r>
      </w:hyperlink>
    </w:p>
    <w:p w:rsidR="00AB41CA" w:rsidRDefault="001D628E">
      <w:pPr>
        <w:pStyle w:val="Indholdsfortegnelse1"/>
        <w:rPr>
          <w:rFonts w:asciiTheme="minorHAnsi" w:eastAsiaTheme="minorEastAsia" w:hAnsiTheme="minorHAnsi" w:cstheme="minorBidi"/>
          <w:sz w:val="22"/>
          <w:szCs w:val="22"/>
        </w:rPr>
      </w:pPr>
      <w:hyperlink w:anchor="_Toc408406234" w:history="1">
        <w:r w:rsidR="00AB41CA" w:rsidRPr="00C203A6">
          <w:rPr>
            <w:rStyle w:val="Hyperlink"/>
          </w:rPr>
          <w:t>3</w:t>
        </w:r>
        <w:r w:rsidR="00AB41CA">
          <w:rPr>
            <w:rFonts w:asciiTheme="minorHAnsi" w:eastAsiaTheme="minorEastAsia" w:hAnsiTheme="minorHAnsi" w:cstheme="minorBidi"/>
            <w:sz w:val="22"/>
            <w:szCs w:val="22"/>
          </w:rPr>
          <w:tab/>
        </w:r>
        <w:r w:rsidR="00AB41CA" w:rsidRPr="00C203A6">
          <w:rPr>
            <w:rStyle w:val="Hyperlink"/>
          </w:rPr>
          <w:t>Natura 2000-område N127 – Sydfynske Øhav</w:t>
        </w:r>
        <w:r w:rsidR="00AB41CA">
          <w:tab/>
        </w:r>
        <w:r w:rsidR="00AB41CA">
          <w:fldChar w:fldCharType="begin"/>
        </w:r>
        <w:r w:rsidR="00AB41CA">
          <w:instrText xml:space="preserve"> PAGEREF _Toc408406234 \h </w:instrText>
        </w:r>
        <w:r w:rsidR="00AB41CA">
          <w:fldChar w:fldCharType="separate"/>
        </w:r>
        <w:r w:rsidR="00DA536A">
          <w:t>12</w:t>
        </w:r>
        <w:r w:rsidR="00AB41CA">
          <w:fldChar w:fldCharType="end"/>
        </w:r>
      </w:hyperlink>
    </w:p>
    <w:p w:rsidR="00AB41CA" w:rsidRDefault="001D628E">
      <w:pPr>
        <w:pStyle w:val="Indholdsfortegnelse2"/>
        <w:rPr>
          <w:rFonts w:asciiTheme="minorHAnsi" w:eastAsiaTheme="minorEastAsia" w:hAnsiTheme="minorHAnsi" w:cstheme="minorBidi"/>
          <w:color w:val="auto"/>
          <w:sz w:val="22"/>
          <w:szCs w:val="22"/>
        </w:rPr>
      </w:pPr>
      <w:hyperlink w:anchor="_Toc408406235" w:history="1">
        <w:r w:rsidR="00AB41CA" w:rsidRPr="00C203A6">
          <w:rPr>
            <w:rStyle w:val="Hyperlink"/>
          </w:rPr>
          <w:t>3.1</w:t>
        </w:r>
        <w:r w:rsidR="00AB41CA">
          <w:rPr>
            <w:rFonts w:asciiTheme="minorHAnsi" w:eastAsiaTheme="minorEastAsia" w:hAnsiTheme="minorHAnsi" w:cstheme="minorBidi"/>
            <w:color w:val="auto"/>
            <w:sz w:val="22"/>
            <w:szCs w:val="22"/>
          </w:rPr>
          <w:tab/>
        </w:r>
        <w:r w:rsidR="00AB41CA" w:rsidRPr="00C203A6">
          <w:rPr>
            <w:rStyle w:val="Hyperlink"/>
          </w:rPr>
          <w:t>Habitatområde H111 (Sydfynske Øhav)</w:t>
        </w:r>
        <w:r w:rsidR="00AB41CA">
          <w:tab/>
        </w:r>
        <w:r w:rsidR="00AB41CA">
          <w:fldChar w:fldCharType="begin"/>
        </w:r>
        <w:r w:rsidR="00AB41CA">
          <w:instrText xml:space="preserve"> PAGEREF _Toc408406235 \h </w:instrText>
        </w:r>
        <w:r w:rsidR="00AB41CA">
          <w:fldChar w:fldCharType="separate"/>
        </w:r>
        <w:r w:rsidR="00DA536A">
          <w:t>13</w:t>
        </w:r>
        <w:r w:rsidR="00AB41CA">
          <w:fldChar w:fldCharType="end"/>
        </w:r>
      </w:hyperlink>
    </w:p>
    <w:p w:rsidR="00AB41CA" w:rsidRDefault="001D628E">
      <w:pPr>
        <w:pStyle w:val="Indholdsfortegnelse2"/>
        <w:rPr>
          <w:rFonts w:asciiTheme="minorHAnsi" w:eastAsiaTheme="minorEastAsia" w:hAnsiTheme="minorHAnsi" w:cstheme="minorBidi"/>
          <w:color w:val="auto"/>
          <w:sz w:val="22"/>
          <w:szCs w:val="22"/>
        </w:rPr>
      </w:pPr>
      <w:hyperlink w:anchor="_Toc408406236" w:history="1">
        <w:r w:rsidR="00AB41CA" w:rsidRPr="00C203A6">
          <w:rPr>
            <w:rStyle w:val="Hyperlink"/>
          </w:rPr>
          <w:t>3.2</w:t>
        </w:r>
        <w:r w:rsidR="00AB41CA">
          <w:rPr>
            <w:rFonts w:asciiTheme="minorHAnsi" w:eastAsiaTheme="minorEastAsia" w:hAnsiTheme="minorHAnsi" w:cstheme="minorBidi"/>
            <w:color w:val="auto"/>
            <w:sz w:val="22"/>
            <w:szCs w:val="22"/>
          </w:rPr>
          <w:tab/>
        </w:r>
        <w:r w:rsidR="00AB41CA" w:rsidRPr="00C203A6">
          <w:rPr>
            <w:rStyle w:val="Hyperlink"/>
          </w:rPr>
          <w:t>Fuglebeskyttelsesområde F71 (Sydfynske Øhav)</w:t>
        </w:r>
        <w:r w:rsidR="00AB41CA">
          <w:tab/>
        </w:r>
        <w:r w:rsidR="00AB41CA">
          <w:fldChar w:fldCharType="begin"/>
        </w:r>
        <w:r w:rsidR="00AB41CA">
          <w:instrText xml:space="preserve"> PAGEREF _Toc408406236 \h </w:instrText>
        </w:r>
        <w:r w:rsidR="00AB41CA">
          <w:fldChar w:fldCharType="separate"/>
        </w:r>
        <w:r w:rsidR="00DA536A">
          <w:t>13</w:t>
        </w:r>
        <w:r w:rsidR="00AB41CA">
          <w:fldChar w:fldCharType="end"/>
        </w:r>
      </w:hyperlink>
    </w:p>
    <w:p w:rsidR="00AB41CA" w:rsidRDefault="001D628E">
      <w:pPr>
        <w:pStyle w:val="Indholdsfortegnelse1"/>
        <w:rPr>
          <w:rFonts w:asciiTheme="minorHAnsi" w:eastAsiaTheme="minorEastAsia" w:hAnsiTheme="minorHAnsi" w:cstheme="minorBidi"/>
          <w:sz w:val="22"/>
          <w:szCs w:val="22"/>
        </w:rPr>
      </w:pPr>
      <w:hyperlink w:anchor="_Toc408406237" w:history="1">
        <w:r w:rsidR="00AB41CA" w:rsidRPr="00C203A6">
          <w:rPr>
            <w:rStyle w:val="Hyperlink"/>
          </w:rPr>
          <w:t>4</w:t>
        </w:r>
        <w:r w:rsidR="00AB41CA">
          <w:rPr>
            <w:rFonts w:asciiTheme="minorHAnsi" w:eastAsiaTheme="minorEastAsia" w:hAnsiTheme="minorHAnsi" w:cstheme="minorBidi"/>
            <w:sz w:val="22"/>
            <w:szCs w:val="22"/>
          </w:rPr>
          <w:tab/>
        </w:r>
        <w:r w:rsidR="00AB41CA" w:rsidRPr="00C203A6">
          <w:rPr>
            <w:rStyle w:val="Hyperlink"/>
          </w:rPr>
          <w:t>Påvirkning af udpegningsgrundlaget</w:t>
        </w:r>
        <w:r w:rsidR="00AB41CA">
          <w:tab/>
        </w:r>
        <w:r w:rsidR="00AB41CA">
          <w:fldChar w:fldCharType="begin"/>
        </w:r>
        <w:r w:rsidR="00AB41CA">
          <w:instrText xml:space="preserve"> PAGEREF _Toc408406237 \h </w:instrText>
        </w:r>
        <w:r w:rsidR="00AB41CA">
          <w:fldChar w:fldCharType="separate"/>
        </w:r>
        <w:r w:rsidR="00DA536A">
          <w:t>15</w:t>
        </w:r>
        <w:r w:rsidR="00AB41CA">
          <w:fldChar w:fldCharType="end"/>
        </w:r>
      </w:hyperlink>
    </w:p>
    <w:p w:rsidR="00AB41CA" w:rsidRDefault="001D628E">
      <w:pPr>
        <w:pStyle w:val="Indholdsfortegnelse2"/>
        <w:rPr>
          <w:rFonts w:asciiTheme="minorHAnsi" w:eastAsiaTheme="minorEastAsia" w:hAnsiTheme="minorHAnsi" w:cstheme="minorBidi"/>
          <w:color w:val="auto"/>
          <w:sz w:val="22"/>
          <w:szCs w:val="22"/>
        </w:rPr>
      </w:pPr>
      <w:hyperlink w:anchor="_Toc408406238" w:history="1">
        <w:r w:rsidR="00AB41CA" w:rsidRPr="00C203A6">
          <w:rPr>
            <w:rStyle w:val="Hyperlink"/>
          </w:rPr>
          <w:t>4.1</w:t>
        </w:r>
        <w:r w:rsidR="00AB41CA">
          <w:rPr>
            <w:rFonts w:asciiTheme="minorHAnsi" w:eastAsiaTheme="minorEastAsia" w:hAnsiTheme="minorHAnsi" w:cstheme="minorBidi"/>
            <w:color w:val="auto"/>
            <w:sz w:val="22"/>
            <w:szCs w:val="22"/>
          </w:rPr>
          <w:tab/>
        </w:r>
        <w:r w:rsidR="00AB41CA" w:rsidRPr="00C203A6">
          <w:rPr>
            <w:rStyle w:val="Hyperlink"/>
          </w:rPr>
          <w:t>Påvirkninger af fugle</w:t>
        </w:r>
        <w:r w:rsidR="00AB41CA">
          <w:tab/>
        </w:r>
        <w:r w:rsidR="00AB41CA">
          <w:fldChar w:fldCharType="begin"/>
        </w:r>
        <w:r w:rsidR="00AB41CA">
          <w:instrText xml:space="preserve"> PAGEREF _Toc408406238 \h </w:instrText>
        </w:r>
        <w:r w:rsidR="00AB41CA">
          <w:fldChar w:fldCharType="separate"/>
        </w:r>
        <w:r w:rsidR="00DA536A">
          <w:t>15</w:t>
        </w:r>
        <w:r w:rsidR="00AB41CA">
          <w:fldChar w:fldCharType="end"/>
        </w:r>
      </w:hyperlink>
    </w:p>
    <w:p w:rsidR="00AB41CA" w:rsidRDefault="001D628E">
      <w:pPr>
        <w:pStyle w:val="Indholdsfortegnelse2"/>
        <w:rPr>
          <w:rFonts w:asciiTheme="minorHAnsi" w:eastAsiaTheme="minorEastAsia" w:hAnsiTheme="minorHAnsi" w:cstheme="minorBidi"/>
          <w:color w:val="auto"/>
          <w:sz w:val="22"/>
          <w:szCs w:val="22"/>
        </w:rPr>
      </w:pPr>
      <w:hyperlink w:anchor="_Toc408406239" w:history="1">
        <w:r w:rsidR="00AB41CA" w:rsidRPr="00C203A6">
          <w:rPr>
            <w:rStyle w:val="Hyperlink"/>
          </w:rPr>
          <w:t>4.2</w:t>
        </w:r>
        <w:r w:rsidR="00AB41CA">
          <w:rPr>
            <w:rFonts w:asciiTheme="minorHAnsi" w:eastAsiaTheme="minorEastAsia" w:hAnsiTheme="minorHAnsi" w:cstheme="minorBidi"/>
            <w:color w:val="auto"/>
            <w:sz w:val="22"/>
            <w:szCs w:val="22"/>
          </w:rPr>
          <w:tab/>
        </w:r>
        <w:r w:rsidR="00AB41CA" w:rsidRPr="00C203A6">
          <w:rPr>
            <w:rStyle w:val="Hyperlink"/>
            <w:shd w:val="clear" w:color="auto" w:fill="FFFFFF"/>
          </w:rPr>
          <w:t>Bilag IV-arter</w:t>
        </w:r>
        <w:r w:rsidR="00AB41CA">
          <w:tab/>
        </w:r>
        <w:r w:rsidR="00AB41CA">
          <w:fldChar w:fldCharType="begin"/>
        </w:r>
        <w:r w:rsidR="00AB41CA">
          <w:instrText xml:space="preserve"> PAGEREF _Toc408406239 \h </w:instrText>
        </w:r>
        <w:r w:rsidR="00AB41CA">
          <w:fldChar w:fldCharType="separate"/>
        </w:r>
        <w:r w:rsidR="00DA536A">
          <w:t>19</w:t>
        </w:r>
        <w:r w:rsidR="00AB41CA">
          <w:fldChar w:fldCharType="end"/>
        </w:r>
      </w:hyperlink>
    </w:p>
    <w:p w:rsidR="00AB41CA" w:rsidRDefault="001D628E">
      <w:pPr>
        <w:pStyle w:val="Indholdsfortegnelse1"/>
        <w:rPr>
          <w:rFonts w:asciiTheme="minorHAnsi" w:eastAsiaTheme="minorEastAsia" w:hAnsiTheme="minorHAnsi" w:cstheme="minorBidi"/>
          <w:sz w:val="22"/>
          <w:szCs w:val="22"/>
        </w:rPr>
      </w:pPr>
      <w:hyperlink w:anchor="_Toc408406240" w:history="1">
        <w:r w:rsidR="00AB41CA" w:rsidRPr="00C203A6">
          <w:rPr>
            <w:rStyle w:val="Hyperlink"/>
          </w:rPr>
          <w:t>5</w:t>
        </w:r>
        <w:r w:rsidR="00AB41CA">
          <w:rPr>
            <w:rFonts w:asciiTheme="minorHAnsi" w:eastAsiaTheme="minorEastAsia" w:hAnsiTheme="minorHAnsi" w:cstheme="minorBidi"/>
            <w:sz w:val="22"/>
            <w:szCs w:val="22"/>
          </w:rPr>
          <w:tab/>
        </w:r>
        <w:r w:rsidR="00AB41CA" w:rsidRPr="00C203A6">
          <w:rPr>
            <w:rStyle w:val="Hyperlink"/>
          </w:rPr>
          <w:t>Konsekvensvurdering</w:t>
        </w:r>
        <w:r w:rsidR="00AB41CA">
          <w:tab/>
        </w:r>
        <w:r w:rsidR="00AB41CA">
          <w:fldChar w:fldCharType="begin"/>
        </w:r>
        <w:r w:rsidR="00AB41CA">
          <w:instrText xml:space="preserve"> PAGEREF _Toc408406240 \h </w:instrText>
        </w:r>
        <w:r w:rsidR="00AB41CA">
          <w:fldChar w:fldCharType="separate"/>
        </w:r>
        <w:r w:rsidR="00DA536A">
          <w:t>22</w:t>
        </w:r>
        <w:r w:rsidR="00AB41CA">
          <w:fldChar w:fldCharType="end"/>
        </w:r>
      </w:hyperlink>
    </w:p>
    <w:p w:rsidR="00AB41CA" w:rsidRDefault="001D628E">
      <w:pPr>
        <w:pStyle w:val="Indholdsfortegnelse2"/>
        <w:rPr>
          <w:rFonts w:asciiTheme="minorHAnsi" w:eastAsiaTheme="minorEastAsia" w:hAnsiTheme="minorHAnsi" w:cstheme="minorBidi"/>
          <w:color w:val="auto"/>
          <w:sz w:val="22"/>
          <w:szCs w:val="22"/>
        </w:rPr>
      </w:pPr>
      <w:hyperlink w:anchor="_Toc408406241" w:history="1">
        <w:r w:rsidR="00AB41CA" w:rsidRPr="00C203A6">
          <w:rPr>
            <w:rStyle w:val="Hyperlink"/>
          </w:rPr>
          <w:t>5.1</w:t>
        </w:r>
        <w:r w:rsidR="00AB41CA">
          <w:rPr>
            <w:rFonts w:asciiTheme="minorHAnsi" w:eastAsiaTheme="minorEastAsia" w:hAnsiTheme="minorHAnsi" w:cstheme="minorBidi"/>
            <w:color w:val="auto"/>
            <w:sz w:val="22"/>
            <w:szCs w:val="22"/>
          </w:rPr>
          <w:tab/>
        </w:r>
        <w:r w:rsidR="00AB41CA" w:rsidRPr="00C203A6">
          <w:rPr>
            <w:rStyle w:val="Hyperlink"/>
          </w:rPr>
          <w:t>Vurdering af påvirkning på Natura 2000 området</w:t>
        </w:r>
        <w:r w:rsidR="00AB41CA">
          <w:tab/>
        </w:r>
        <w:r w:rsidR="00AB41CA">
          <w:fldChar w:fldCharType="begin"/>
        </w:r>
        <w:r w:rsidR="00AB41CA">
          <w:instrText xml:space="preserve"> PAGEREF _Toc408406241 \h </w:instrText>
        </w:r>
        <w:r w:rsidR="00AB41CA">
          <w:fldChar w:fldCharType="separate"/>
        </w:r>
        <w:r w:rsidR="00DA536A">
          <w:t>22</w:t>
        </w:r>
        <w:r w:rsidR="00AB41CA">
          <w:fldChar w:fldCharType="end"/>
        </w:r>
      </w:hyperlink>
    </w:p>
    <w:p w:rsidR="00AB41CA" w:rsidRDefault="001D628E">
      <w:pPr>
        <w:pStyle w:val="Indholdsfortegnelse2"/>
        <w:rPr>
          <w:rFonts w:asciiTheme="minorHAnsi" w:eastAsiaTheme="minorEastAsia" w:hAnsiTheme="minorHAnsi" w:cstheme="minorBidi"/>
          <w:color w:val="auto"/>
          <w:sz w:val="22"/>
          <w:szCs w:val="22"/>
        </w:rPr>
      </w:pPr>
      <w:hyperlink w:anchor="_Toc408406242" w:history="1">
        <w:r w:rsidR="00AB41CA" w:rsidRPr="00C203A6">
          <w:rPr>
            <w:rStyle w:val="Hyperlink"/>
          </w:rPr>
          <w:t>5.2</w:t>
        </w:r>
        <w:r w:rsidR="00AB41CA">
          <w:rPr>
            <w:rFonts w:asciiTheme="minorHAnsi" w:eastAsiaTheme="minorEastAsia" w:hAnsiTheme="minorHAnsi" w:cstheme="minorBidi"/>
            <w:color w:val="auto"/>
            <w:sz w:val="22"/>
            <w:szCs w:val="22"/>
          </w:rPr>
          <w:tab/>
        </w:r>
        <w:r w:rsidR="00AB41CA" w:rsidRPr="00C203A6">
          <w:rPr>
            <w:rStyle w:val="Hyperlink"/>
          </w:rPr>
          <w:t>Vurdering af påvirkning på bilag IV-arter</w:t>
        </w:r>
        <w:r w:rsidR="00AB41CA">
          <w:tab/>
        </w:r>
        <w:r w:rsidR="00AB41CA">
          <w:fldChar w:fldCharType="begin"/>
        </w:r>
        <w:r w:rsidR="00AB41CA">
          <w:instrText xml:space="preserve"> PAGEREF _Toc408406242 \h </w:instrText>
        </w:r>
        <w:r w:rsidR="00AB41CA">
          <w:fldChar w:fldCharType="separate"/>
        </w:r>
        <w:r w:rsidR="00DA536A">
          <w:t>24</w:t>
        </w:r>
        <w:r w:rsidR="00AB41CA">
          <w:fldChar w:fldCharType="end"/>
        </w:r>
      </w:hyperlink>
    </w:p>
    <w:p w:rsidR="00AB41CA" w:rsidRDefault="001D628E">
      <w:pPr>
        <w:pStyle w:val="Indholdsfortegnelse1"/>
        <w:rPr>
          <w:rFonts w:asciiTheme="minorHAnsi" w:eastAsiaTheme="minorEastAsia" w:hAnsiTheme="minorHAnsi" w:cstheme="minorBidi"/>
          <w:sz w:val="22"/>
          <w:szCs w:val="22"/>
        </w:rPr>
      </w:pPr>
      <w:hyperlink w:anchor="_Toc408406243" w:history="1">
        <w:r w:rsidR="00AB41CA" w:rsidRPr="00C203A6">
          <w:rPr>
            <w:rStyle w:val="Hyperlink"/>
          </w:rPr>
          <w:t>6</w:t>
        </w:r>
        <w:r w:rsidR="00AB41CA">
          <w:rPr>
            <w:rFonts w:asciiTheme="minorHAnsi" w:eastAsiaTheme="minorEastAsia" w:hAnsiTheme="minorHAnsi" w:cstheme="minorBidi"/>
            <w:sz w:val="22"/>
            <w:szCs w:val="22"/>
          </w:rPr>
          <w:tab/>
        </w:r>
        <w:r w:rsidR="00AB41CA" w:rsidRPr="00C203A6">
          <w:rPr>
            <w:rStyle w:val="Hyperlink"/>
          </w:rPr>
          <w:t>Referencer</w:t>
        </w:r>
        <w:r w:rsidR="00AB41CA">
          <w:tab/>
        </w:r>
        <w:r w:rsidR="00AB41CA">
          <w:fldChar w:fldCharType="begin"/>
        </w:r>
        <w:r w:rsidR="00AB41CA">
          <w:instrText xml:space="preserve"> PAGEREF _Toc408406243 \h </w:instrText>
        </w:r>
        <w:r w:rsidR="00AB41CA">
          <w:fldChar w:fldCharType="separate"/>
        </w:r>
        <w:r w:rsidR="00DA536A">
          <w:t>25</w:t>
        </w:r>
        <w:r w:rsidR="00AB41CA">
          <w:fldChar w:fldCharType="end"/>
        </w:r>
      </w:hyperlink>
    </w:p>
    <w:p w:rsidR="00B87616" w:rsidRPr="00D07C30" w:rsidRDefault="00E50380" w:rsidP="002C505D">
      <w:pPr>
        <w:pStyle w:val="Brdtekst"/>
        <w:sectPr w:rsidR="00B87616" w:rsidRPr="00D07C30" w:rsidSect="005E7064">
          <w:headerReference w:type="even" r:id="rId15"/>
          <w:headerReference w:type="default" r:id="rId16"/>
          <w:footerReference w:type="even" r:id="rId17"/>
          <w:footerReference w:type="default" r:id="rId18"/>
          <w:headerReference w:type="first" r:id="rId19"/>
          <w:type w:val="oddPage"/>
          <w:pgSz w:w="11907" w:h="16840" w:code="9"/>
          <w:pgMar w:top="1701" w:right="851" w:bottom="1134" w:left="3119" w:header="851" w:footer="369" w:gutter="567"/>
          <w:cols w:space="708"/>
          <w:docGrid w:linePitch="360"/>
        </w:sectPr>
      </w:pPr>
      <w:r w:rsidRPr="00D07C30">
        <w:fldChar w:fldCharType="end"/>
      </w:r>
      <w:bookmarkStart w:id="0" w:name="_Toc443723217"/>
    </w:p>
    <w:p w:rsidR="00EE3BA6" w:rsidRDefault="00EE3BA6">
      <w:pPr>
        <w:spacing w:line="240" w:lineRule="auto"/>
        <w:rPr>
          <w:sz w:val="36"/>
        </w:rPr>
      </w:pPr>
      <w:bookmarkStart w:id="1" w:name="_Toc405554992"/>
      <w:bookmarkEnd w:id="0"/>
    </w:p>
    <w:p w:rsidR="00530B6A" w:rsidRDefault="002C01B7" w:rsidP="00530B6A">
      <w:pPr>
        <w:pStyle w:val="Overskrift1"/>
        <w:pageBreakBefore w:val="0"/>
        <w:spacing w:before="500" w:line="320" w:lineRule="atLeast"/>
      </w:pPr>
      <w:bookmarkStart w:id="2" w:name="_Toc408406230"/>
      <w:bookmarkEnd w:id="1"/>
      <w:r>
        <w:t>Baggrund</w:t>
      </w:r>
      <w:bookmarkEnd w:id="2"/>
    </w:p>
    <w:p w:rsidR="00714DF9" w:rsidRDefault="00EA335A" w:rsidP="00F06EF6">
      <w:pPr>
        <w:pStyle w:val="Overskrift2"/>
      </w:pPr>
      <w:bookmarkStart w:id="3" w:name="_Toc408406231"/>
      <w:r>
        <w:t xml:space="preserve">Etablering </w:t>
      </w:r>
      <w:r w:rsidR="00714DF9">
        <w:t>af nye vindmøller på Tåsinge</w:t>
      </w:r>
      <w:bookmarkEnd w:id="3"/>
    </w:p>
    <w:p w:rsidR="002C01B7" w:rsidRDefault="00A71042" w:rsidP="002C01B7">
      <w:pPr>
        <w:pStyle w:val="Brdtekst"/>
      </w:pPr>
      <w:r>
        <w:t xml:space="preserve">Svendborg Kommune ønsker at </w:t>
      </w:r>
      <w:r w:rsidR="00C07DAB">
        <w:t>nedtage</w:t>
      </w:r>
      <w:r>
        <w:t xml:space="preserve"> tre eksisterende vindmøller </w:t>
      </w:r>
      <w:r w:rsidR="00D7683B">
        <w:t>ved Skiftekær, Tåsinge, og erstatte dem med to nye og mere effektive møller. Dette begrundes i, at</w:t>
      </w:r>
      <w:r w:rsidR="00E24DC6">
        <w:t xml:space="preserve"> den anbefalede afstand mellem </w:t>
      </w:r>
      <w:r w:rsidR="00D7683B">
        <w:t xml:space="preserve">de eksisterende </w:t>
      </w:r>
      <w:r w:rsidR="00E24DC6">
        <w:t xml:space="preserve">møller ikke </w:t>
      </w:r>
      <w:r w:rsidR="005C1D5A">
        <w:t xml:space="preserve">er </w:t>
      </w:r>
      <w:r w:rsidR="00E24DC6">
        <w:t>overholdt</w:t>
      </w:r>
      <w:r w:rsidR="00D7683B">
        <w:t xml:space="preserve">, og </w:t>
      </w:r>
      <w:r w:rsidR="00EA335A">
        <w:t xml:space="preserve">er </w:t>
      </w:r>
      <w:r w:rsidR="009A7EA8">
        <w:t>endvidere begrundet i et</w:t>
      </w:r>
      <w:r w:rsidR="00D7683B">
        <w:t xml:space="preserve"> lokalt ønske om at aftage mere vedvarende energi</w:t>
      </w:r>
      <w:r>
        <w:t xml:space="preserve">. Placeringen </w:t>
      </w:r>
      <w:r w:rsidR="00D7683B">
        <w:t xml:space="preserve">af møllerne </w:t>
      </w:r>
      <w:r>
        <w:t xml:space="preserve">er markeret på </w:t>
      </w:r>
      <w:r>
        <w:fldChar w:fldCharType="begin"/>
      </w:r>
      <w:r>
        <w:instrText xml:space="preserve"> REF _Ref405976711 \h </w:instrText>
      </w:r>
      <w:r>
        <w:fldChar w:fldCharType="separate"/>
      </w:r>
      <w:r w:rsidR="00DA536A">
        <w:t xml:space="preserve">Figur </w:t>
      </w:r>
      <w:r w:rsidR="00DA536A">
        <w:rPr>
          <w:noProof/>
        </w:rPr>
        <w:t>1</w:t>
      </w:r>
      <w:r w:rsidR="00DA536A">
        <w:noBreakHyphen/>
      </w:r>
      <w:r w:rsidR="00DA536A">
        <w:rPr>
          <w:noProof/>
        </w:rPr>
        <w:t>1</w:t>
      </w:r>
      <w:r>
        <w:fldChar w:fldCharType="end"/>
      </w:r>
      <w:r w:rsidR="00C07DAB">
        <w:t>.</w:t>
      </w:r>
      <w:r>
        <w:t xml:space="preserve"> </w:t>
      </w:r>
      <w:r w:rsidR="00D7683B">
        <w:t>De nuværende m</w:t>
      </w:r>
      <w:r>
        <w:t>øller har en højde på mellem 40 og 45 meter</w:t>
      </w:r>
      <w:r w:rsidR="00D7683B">
        <w:t>, og de nye møller, der vil blive opstillet på matrikel 18D og 19A, v</w:t>
      </w:r>
      <w:r w:rsidR="00137F2C">
        <w:t>il have en totalhøjde på ca. 80 meter</w:t>
      </w:r>
      <w:r w:rsidR="00D7683B">
        <w:t>.</w:t>
      </w:r>
      <w:r w:rsidR="00226D89">
        <w:t xml:space="preserve"> </w:t>
      </w:r>
    </w:p>
    <w:p w:rsidR="00226D89" w:rsidRPr="002C01B7" w:rsidRDefault="00226D89" w:rsidP="002C01B7">
      <w:pPr>
        <w:pStyle w:val="Brdtekst"/>
      </w:pPr>
      <w:r>
        <w:t xml:space="preserve">  </w:t>
      </w:r>
    </w:p>
    <w:p w:rsidR="00923A8F" w:rsidRDefault="00923A8F" w:rsidP="00923A8F">
      <w:pPr>
        <w:pStyle w:val="Brdtekst"/>
        <w:keepNext/>
      </w:pPr>
      <w:r>
        <w:rPr>
          <w:noProof/>
        </w:rPr>
        <w:drawing>
          <wp:inline distT="0" distB="0" distL="0" distR="0" wp14:anchorId="62DD7BF9" wp14:editId="65E9EBBA">
            <wp:extent cx="4206240" cy="39319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6240" cy="3931920"/>
                    </a:xfrm>
                    <a:prstGeom prst="rect">
                      <a:avLst/>
                    </a:prstGeom>
                    <a:noFill/>
                    <a:ln>
                      <a:noFill/>
                    </a:ln>
                  </pic:spPr>
                </pic:pic>
              </a:graphicData>
            </a:graphic>
          </wp:inline>
        </w:drawing>
      </w:r>
    </w:p>
    <w:p w:rsidR="00473AE2" w:rsidRDefault="00923A8F" w:rsidP="00714DF9">
      <w:pPr>
        <w:pStyle w:val="Billedtekst"/>
      </w:pPr>
      <w:bookmarkStart w:id="4" w:name="_Ref405976711"/>
      <w:r>
        <w:t xml:space="preserve">Figur </w:t>
      </w:r>
      <w:fldSimple w:instr=" STYLEREF 1 \s ">
        <w:r w:rsidR="00DA536A">
          <w:rPr>
            <w:noProof/>
          </w:rPr>
          <w:t>1</w:t>
        </w:r>
      </w:fldSimple>
      <w:r w:rsidR="00107DE7">
        <w:noBreakHyphen/>
      </w:r>
      <w:fldSimple w:instr=" SEQ Figur \* ARABIC \s 1 ">
        <w:r w:rsidR="00DA536A">
          <w:rPr>
            <w:noProof/>
          </w:rPr>
          <w:t>1</w:t>
        </w:r>
      </w:fldSimple>
      <w:bookmarkEnd w:id="4"/>
      <w:r>
        <w:tab/>
      </w:r>
      <w:r w:rsidR="00E54376">
        <w:t>P</w:t>
      </w:r>
      <w:r>
        <w:t>rojektets placering på Tåsinge.</w:t>
      </w:r>
    </w:p>
    <w:p w:rsidR="00474CF7" w:rsidRDefault="005C1D5A" w:rsidP="00474CF7">
      <w:pPr>
        <w:pStyle w:val="Overskrift2"/>
      </w:pPr>
      <w:bookmarkStart w:id="5" w:name="_Toc408406232"/>
      <w:r>
        <w:t xml:space="preserve">Forholdet til </w:t>
      </w:r>
      <w:r w:rsidR="00474CF7">
        <w:t>Natura 2000</w:t>
      </w:r>
      <w:r w:rsidR="00DF2A98">
        <w:t>-</w:t>
      </w:r>
      <w:r>
        <w:t>reglerne</w:t>
      </w:r>
      <w:bookmarkEnd w:id="5"/>
    </w:p>
    <w:p w:rsidR="00474CF7" w:rsidRDefault="00474CF7" w:rsidP="00474CF7">
      <w:pPr>
        <w:pStyle w:val="Brdtekst"/>
      </w:pPr>
      <w:r>
        <w:t>Vindmølleprojektet grænser op til et internationalt naturbeskyttelsesområde, Natura 2000-område N127 (Sydfynske Øhav). Natura 2000-området udgøres bl.a. af fuglebeskyttelsesområde F71 (Sydfynske Øhav)</w:t>
      </w:r>
      <w:r w:rsidR="00DF2A98">
        <w:t>,</w:t>
      </w:r>
      <w:r>
        <w:t xml:space="preserve"> habitatområde H111 (Sydfynske Øhav) og Ramsarområde </w:t>
      </w:r>
      <w:r w:rsidR="00DF2A98">
        <w:t>R</w:t>
      </w:r>
      <w:r>
        <w:t>17 (S</w:t>
      </w:r>
      <w:r w:rsidR="00E54376">
        <w:t xml:space="preserve">ydfynske </w:t>
      </w:r>
      <w:r w:rsidR="00DF2A98">
        <w:t>Ø</w:t>
      </w:r>
      <w:r w:rsidR="00E54376">
        <w:t>hav)</w:t>
      </w:r>
      <w:r w:rsidR="00137F2C">
        <w:t>,</w:t>
      </w:r>
      <w:r w:rsidR="00E54376">
        <w:t xml:space="preserve"> som ses på </w:t>
      </w:r>
      <w:r w:rsidR="00E54376" w:rsidRPr="00137F2C">
        <w:fldChar w:fldCharType="begin"/>
      </w:r>
      <w:r w:rsidR="00E54376" w:rsidRPr="00137F2C">
        <w:instrText xml:space="preserve"> REF _Ref405979884 \h </w:instrText>
      </w:r>
      <w:r w:rsidR="00137F2C" w:rsidRPr="00137F2C">
        <w:instrText xml:space="preserve"> \* MERGEFORMAT </w:instrText>
      </w:r>
      <w:r w:rsidR="00E54376" w:rsidRPr="00137F2C">
        <w:fldChar w:fldCharType="separate"/>
      </w:r>
      <w:r w:rsidR="00DA536A" w:rsidRPr="00DA536A">
        <w:t xml:space="preserve">Figur </w:t>
      </w:r>
      <w:r w:rsidR="00DA536A" w:rsidRPr="00DA536A">
        <w:rPr>
          <w:noProof/>
        </w:rPr>
        <w:t>1</w:t>
      </w:r>
      <w:r w:rsidR="00DA536A" w:rsidRPr="00DA536A">
        <w:rPr>
          <w:noProof/>
        </w:rPr>
        <w:noBreakHyphen/>
        <w:t>2</w:t>
      </w:r>
      <w:r w:rsidR="00E54376" w:rsidRPr="00137F2C">
        <w:fldChar w:fldCharType="end"/>
      </w:r>
      <w:r w:rsidR="00E54376" w:rsidRPr="00137F2C">
        <w:t>.</w:t>
      </w:r>
      <w:r w:rsidR="00E54376">
        <w:t xml:space="preserve"> </w:t>
      </w:r>
    </w:p>
    <w:p w:rsidR="00474CF7" w:rsidRDefault="00DF2A98" w:rsidP="00474CF7">
      <w:pPr>
        <w:pStyle w:val="Brdtekst"/>
      </w:pPr>
      <w:r>
        <w:lastRenderedPageBreak/>
        <w:t>Da det ikke på forhånd kan udelukkes, at vindmølleprojektet vil kunne medføre væsentlige påvirkninger af det tilliggende Natura 2000-område, skal der derfor i</w:t>
      </w:r>
      <w:r w:rsidR="00474CF7">
        <w:t xml:space="preserve"> medfør af § 7 i </w:t>
      </w:r>
      <w:r w:rsidR="00EA335A">
        <w:t>Habitatbekendtgørelsen</w:t>
      </w:r>
      <w:r w:rsidR="00EA335A">
        <w:rPr>
          <w:rStyle w:val="Fodnotehenvisning"/>
        </w:rPr>
        <w:footnoteReference w:id="1"/>
      </w:r>
      <w:r w:rsidR="00474CF7">
        <w:t xml:space="preserve"> gennemføres en vurdering af projektets mu</w:t>
      </w:r>
      <w:r w:rsidR="00137F2C">
        <w:t>lige virkninger på Natura 2000-</w:t>
      </w:r>
      <w:r w:rsidR="00474CF7">
        <w:t>området og dets bevaringsmålsætninger.</w:t>
      </w:r>
    </w:p>
    <w:p w:rsidR="00B64787" w:rsidRDefault="00137F2C" w:rsidP="00B64787">
      <w:pPr>
        <w:pStyle w:val="Brdtekst"/>
      </w:pPr>
      <w:r>
        <w:t>Svendborg K</w:t>
      </w:r>
      <w:r w:rsidR="00474CF7">
        <w:t xml:space="preserve">ommune har som </w:t>
      </w:r>
      <w:r w:rsidR="00EA335A">
        <w:t xml:space="preserve">følge </w:t>
      </w:r>
      <w:r w:rsidR="00474CF7">
        <w:t xml:space="preserve">af </w:t>
      </w:r>
      <w:r w:rsidR="00EA335A">
        <w:t xml:space="preserve">dette anmodet </w:t>
      </w:r>
      <w:r w:rsidR="00474CF7">
        <w:t xml:space="preserve">COWI om at udarbejde en vurdering af de mulige </w:t>
      </w:r>
      <w:r w:rsidR="00EA335A">
        <w:t>påvirkninger af</w:t>
      </w:r>
      <w:r w:rsidR="00474CF7">
        <w:t xml:space="preserve"> Natura 2000-området. Projektet er </w:t>
      </w:r>
      <w:r w:rsidR="005C1D5A">
        <w:t xml:space="preserve">endvidere </w:t>
      </w:r>
      <w:r w:rsidR="00474CF7">
        <w:t xml:space="preserve">omfattet af </w:t>
      </w:r>
      <w:r w:rsidR="00DF2A98">
        <w:t>p</w:t>
      </w:r>
      <w:r w:rsidR="00474CF7">
        <w:t xml:space="preserve">lanlovens </w:t>
      </w:r>
      <w:r w:rsidR="00EA335A">
        <w:t xml:space="preserve">generelle </w:t>
      </w:r>
      <w:r w:rsidR="00474CF7">
        <w:t>bestemmelser for så vidt angår arealer på land, og projektområdet ligger tillige inden for strandbeskyttelseslinjen (naturbeskyttelsesloven § 15).</w:t>
      </w:r>
      <w:r w:rsidR="0076554B">
        <w:t xml:space="preserve"> </w:t>
      </w:r>
      <w:r w:rsidR="005C1D5A">
        <w:t>Endelig er projektet omfattet af krav om anmeldelse efter reglerne i VVM-bekendtgørelsens</w:t>
      </w:r>
      <w:r w:rsidR="00EA335A">
        <w:rPr>
          <w:rStyle w:val="Fodnotehenvisning"/>
        </w:rPr>
        <w:footnoteReference w:id="2"/>
      </w:r>
      <w:r w:rsidR="005C1D5A">
        <w:t xml:space="preserve"> § 3, jf. bekendtgørelsens § 2.</w:t>
      </w:r>
    </w:p>
    <w:p w:rsidR="00474CF7" w:rsidRDefault="00474CF7" w:rsidP="00B64787">
      <w:pPr>
        <w:pStyle w:val="Brdtekst"/>
      </w:pPr>
      <w:r>
        <w:rPr>
          <w:noProof/>
        </w:rPr>
        <w:drawing>
          <wp:inline distT="0" distB="0" distL="0" distR="0" wp14:anchorId="5A052A77" wp14:editId="133B06A7">
            <wp:extent cx="2081664" cy="628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6584" cy="630136"/>
                    </a:xfrm>
                    <a:prstGeom prst="rect">
                      <a:avLst/>
                    </a:prstGeom>
                    <a:noFill/>
                    <a:ln>
                      <a:noFill/>
                    </a:ln>
                  </pic:spPr>
                </pic:pic>
              </a:graphicData>
            </a:graphic>
          </wp:inline>
        </w:drawing>
      </w:r>
      <w:r>
        <w:rPr>
          <w:noProof/>
        </w:rPr>
        <w:drawing>
          <wp:inline distT="0" distB="0" distL="0" distR="0" wp14:anchorId="5A7AEBF7" wp14:editId="3F8176BD">
            <wp:extent cx="3419475" cy="4528491"/>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9130" cy="4607493"/>
                    </a:xfrm>
                    <a:prstGeom prst="rect">
                      <a:avLst/>
                    </a:prstGeom>
                    <a:noFill/>
                    <a:ln>
                      <a:noFill/>
                    </a:ln>
                  </pic:spPr>
                </pic:pic>
              </a:graphicData>
            </a:graphic>
          </wp:inline>
        </w:drawing>
      </w:r>
    </w:p>
    <w:p w:rsidR="00474CF7" w:rsidRDefault="00474CF7" w:rsidP="00474CF7">
      <w:pPr>
        <w:pStyle w:val="Brdtekst"/>
        <w:rPr>
          <w:i/>
        </w:rPr>
      </w:pPr>
      <w:bookmarkStart w:id="6" w:name="_Ref405979884"/>
      <w:r w:rsidRPr="00474CF7">
        <w:rPr>
          <w:i/>
        </w:rPr>
        <w:t xml:space="preserve">Figur </w:t>
      </w:r>
      <w:r w:rsidR="00107DE7">
        <w:rPr>
          <w:i/>
        </w:rPr>
        <w:fldChar w:fldCharType="begin"/>
      </w:r>
      <w:r w:rsidR="00107DE7">
        <w:rPr>
          <w:i/>
        </w:rPr>
        <w:instrText xml:space="preserve"> STYLEREF 1 \s </w:instrText>
      </w:r>
      <w:r w:rsidR="00107DE7">
        <w:rPr>
          <w:i/>
        </w:rPr>
        <w:fldChar w:fldCharType="separate"/>
      </w:r>
      <w:r w:rsidR="00DA536A">
        <w:rPr>
          <w:i/>
          <w:noProof/>
        </w:rPr>
        <w:t>1</w:t>
      </w:r>
      <w:r w:rsidR="00107DE7">
        <w:rPr>
          <w:i/>
        </w:rPr>
        <w:fldChar w:fldCharType="end"/>
      </w:r>
      <w:r w:rsidR="00107DE7">
        <w:rPr>
          <w:i/>
        </w:rPr>
        <w:noBreakHyphen/>
      </w:r>
      <w:r w:rsidR="00107DE7">
        <w:rPr>
          <w:i/>
        </w:rPr>
        <w:fldChar w:fldCharType="begin"/>
      </w:r>
      <w:r w:rsidR="00107DE7">
        <w:rPr>
          <w:i/>
        </w:rPr>
        <w:instrText xml:space="preserve"> SEQ Figur \* ARABIC \s 1 </w:instrText>
      </w:r>
      <w:r w:rsidR="00107DE7">
        <w:rPr>
          <w:i/>
        </w:rPr>
        <w:fldChar w:fldCharType="separate"/>
      </w:r>
      <w:r w:rsidR="00DA536A">
        <w:rPr>
          <w:i/>
          <w:noProof/>
        </w:rPr>
        <w:t>2</w:t>
      </w:r>
      <w:r w:rsidR="00107DE7">
        <w:rPr>
          <w:i/>
        </w:rPr>
        <w:fldChar w:fldCharType="end"/>
      </w:r>
      <w:bookmarkEnd w:id="6"/>
      <w:r w:rsidRPr="00474CF7">
        <w:rPr>
          <w:i/>
        </w:rPr>
        <w:tab/>
      </w:r>
      <w:r>
        <w:rPr>
          <w:i/>
        </w:rPr>
        <w:tab/>
      </w:r>
      <w:r w:rsidR="00DF2A98">
        <w:rPr>
          <w:i/>
        </w:rPr>
        <w:t>U</w:t>
      </w:r>
      <w:r w:rsidRPr="00474CF7">
        <w:rPr>
          <w:i/>
        </w:rPr>
        <w:t xml:space="preserve">dbredelsen af Natura 2000-område </w:t>
      </w:r>
      <w:r w:rsidR="00DF2A98">
        <w:rPr>
          <w:i/>
        </w:rPr>
        <w:t>N</w:t>
      </w:r>
      <w:r w:rsidRPr="00474CF7">
        <w:rPr>
          <w:i/>
        </w:rPr>
        <w:t xml:space="preserve">127 og vindmøllernes </w:t>
      </w:r>
      <w:r w:rsidR="00B64787">
        <w:rPr>
          <w:i/>
        </w:rPr>
        <w:tab/>
      </w:r>
      <w:r w:rsidR="00B64787">
        <w:rPr>
          <w:i/>
        </w:rPr>
        <w:tab/>
      </w:r>
      <w:r w:rsidR="00B64787">
        <w:rPr>
          <w:i/>
        </w:rPr>
        <w:tab/>
      </w:r>
      <w:r w:rsidR="00B64787">
        <w:rPr>
          <w:i/>
        </w:rPr>
        <w:tab/>
      </w:r>
      <w:r w:rsidR="0076554B">
        <w:rPr>
          <w:i/>
        </w:rPr>
        <w:tab/>
      </w:r>
      <w:r w:rsidRPr="00474CF7">
        <w:rPr>
          <w:i/>
        </w:rPr>
        <w:t xml:space="preserve">placering. </w:t>
      </w:r>
      <w:r w:rsidR="000410ED">
        <w:rPr>
          <w:i/>
        </w:rPr>
        <w:t xml:space="preserve">Natura 2000-området omfatter </w:t>
      </w:r>
      <w:r w:rsidRPr="00474CF7">
        <w:rPr>
          <w:i/>
        </w:rPr>
        <w:t xml:space="preserve">habitatområde </w:t>
      </w:r>
      <w:r w:rsidR="00DF2A98">
        <w:rPr>
          <w:i/>
        </w:rPr>
        <w:t>H111</w:t>
      </w:r>
      <w:r w:rsidRPr="00474CF7">
        <w:rPr>
          <w:i/>
        </w:rPr>
        <w:t xml:space="preserve"> </w:t>
      </w:r>
      <w:r w:rsidR="00137F2C">
        <w:rPr>
          <w:i/>
        </w:rPr>
        <w:tab/>
      </w:r>
      <w:r w:rsidR="00137F2C">
        <w:rPr>
          <w:i/>
        </w:rPr>
        <w:tab/>
      </w:r>
      <w:r w:rsidR="00137F2C">
        <w:rPr>
          <w:i/>
        </w:rPr>
        <w:tab/>
      </w:r>
      <w:r w:rsidR="00137F2C">
        <w:rPr>
          <w:i/>
        </w:rPr>
        <w:tab/>
      </w:r>
      <w:r w:rsidRPr="00474CF7">
        <w:rPr>
          <w:i/>
        </w:rPr>
        <w:t>fuglebeskyttelsesområde</w:t>
      </w:r>
      <w:r w:rsidR="00137F2C">
        <w:rPr>
          <w:i/>
        </w:rPr>
        <w:t xml:space="preserve"> </w:t>
      </w:r>
      <w:r w:rsidR="00DF2A98">
        <w:rPr>
          <w:i/>
        </w:rPr>
        <w:t>F71</w:t>
      </w:r>
      <w:r w:rsidR="000410ED">
        <w:rPr>
          <w:i/>
        </w:rPr>
        <w:t xml:space="preserve"> samt</w:t>
      </w:r>
      <w:r w:rsidRPr="00474CF7">
        <w:rPr>
          <w:i/>
        </w:rPr>
        <w:t xml:space="preserve"> Ramsarområde (R17)</w:t>
      </w:r>
      <w:r w:rsidR="000410ED">
        <w:rPr>
          <w:i/>
        </w:rPr>
        <w:t>.</w:t>
      </w:r>
    </w:p>
    <w:p w:rsidR="00E54376" w:rsidRDefault="00EA335A" w:rsidP="00E54376">
      <w:pPr>
        <w:pStyle w:val="Brdtekst"/>
      </w:pPr>
      <w:r>
        <w:lastRenderedPageBreak/>
        <w:t>En v</w:t>
      </w:r>
      <w:r w:rsidR="005C1D5A">
        <w:t xml:space="preserve">urdering af påvirkning af </w:t>
      </w:r>
      <w:r w:rsidR="00E54376">
        <w:t>Natura 2000-</w:t>
      </w:r>
      <w:r w:rsidR="005C1D5A">
        <w:t xml:space="preserve">området </w:t>
      </w:r>
      <w:r w:rsidR="00E54376">
        <w:t xml:space="preserve">indledes med en væsentlighedsvurdering, der har til </w:t>
      </w:r>
      <w:r w:rsidR="00B85D1B">
        <w:t xml:space="preserve">formål at </w:t>
      </w:r>
      <w:r w:rsidR="005C1D5A">
        <w:t xml:space="preserve">vurdere hvorvidt det </w:t>
      </w:r>
      <w:r w:rsidR="00B85D1B">
        <w:t xml:space="preserve">ansøgte </w:t>
      </w:r>
      <w:r w:rsidR="005C1D5A">
        <w:t xml:space="preserve">projekt </w:t>
      </w:r>
      <w:r w:rsidR="00B85D1B">
        <w:t>kan</w:t>
      </w:r>
      <w:r w:rsidR="005C1D5A">
        <w:t xml:space="preserve"> </w:t>
      </w:r>
      <w:r w:rsidR="00E54376">
        <w:t xml:space="preserve">medføre væsentlige </w:t>
      </w:r>
      <w:r w:rsidR="005C1D5A">
        <w:t xml:space="preserve">negative </w:t>
      </w:r>
      <w:r w:rsidR="00E54376">
        <w:t>påvirkninger af Natura 2000-området og de</w:t>
      </w:r>
      <w:r w:rsidR="00137F2C">
        <w:t xml:space="preserve"> arter og naturtyper</w:t>
      </w:r>
      <w:r w:rsidR="005C1D5A">
        <w:t>, som har ligget til grund for områdets udpegning</w:t>
      </w:r>
      <w:r w:rsidR="00E54376">
        <w:t xml:space="preserve">. Hvis det i væsentlighedsvurderingen ikke kan </w:t>
      </w:r>
      <w:r w:rsidR="005C1D5A">
        <w:t>udelukkes</w:t>
      </w:r>
      <w:r w:rsidR="00E54376">
        <w:t xml:space="preserve">, at vindmøllerne kan medføre væsentlige negative påvirkninger af Natura 2000-området, </w:t>
      </w:r>
      <w:r w:rsidR="005C1D5A">
        <w:t xml:space="preserve">vil ansøger være forpligtet til </w:t>
      </w:r>
      <w:r w:rsidR="0076554B">
        <w:t>gennemføre en</w:t>
      </w:r>
      <w:r w:rsidR="00E54376">
        <w:t xml:space="preserve"> Natura 2000-konsekvensvurdering</w:t>
      </w:r>
      <w:r w:rsidR="00B85D1B">
        <w:t>. Denne vurdering har omvendt bevisbyrde</w:t>
      </w:r>
      <w:r w:rsidR="00E54376">
        <w:t xml:space="preserve"> med særlig vægt på de forhold, der ifølge væsentlighedsvurderingen kan </w:t>
      </w:r>
      <w:r w:rsidR="005C1D5A">
        <w:t>medføre væsentlig negativ indvirkning på</w:t>
      </w:r>
      <w:r w:rsidR="00E54376">
        <w:t xml:space="preserve"> Natura 2000-</w:t>
      </w:r>
      <w:r w:rsidR="005C1D5A">
        <w:t>området</w:t>
      </w:r>
      <w:r w:rsidR="00E54376">
        <w:t xml:space="preserve">. Væsentlighedsvurderingen </w:t>
      </w:r>
      <w:r w:rsidR="005C1D5A">
        <w:t xml:space="preserve">udgør således en form for udvidet </w:t>
      </w:r>
      <w:r w:rsidR="00E54376">
        <w:t xml:space="preserve">screening af </w:t>
      </w:r>
      <w:r w:rsidR="005C1D5A">
        <w:t xml:space="preserve">den mulige påvirkning af </w:t>
      </w:r>
      <w:r w:rsidR="00E54376">
        <w:t>Natura 2000-</w:t>
      </w:r>
      <w:r w:rsidR="005C1D5A">
        <w:t xml:space="preserve">området forud for udstedelse af tilladelse til etablering </w:t>
      </w:r>
      <w:r w:rsidR="00E54376">
        <w:t>og drift af vindmøllerne.</w:t>
      </w:r>
    </w:p>
    <w:p w:rsidR="00E54376" w:rsidRPr="00474CF7" w:rsidRDefault="00B85D1B" w:rsidP="00E54376">
      <w:pPr>
        <w:pStyle w:val="Brdtekst"/>
      </w:pPr>
      <w:r>
        <w:t>Dette</w:t>
      </w:r>
      <w:r w:rsidR="00E54376">
        <w:t xml:space="preserve"> dokument udgør </w:t>
      </w:r>
      <w:r w:rsidR="005C1D5A">
        <w:t xml:space="preserve">en sådan </w:t>
      </w:r>
      <w:r w:rsidR="00E54376">
        <w:t>væsentlighedsvurdering af vindmøllerne ved Skiftekær.</w:t>
      </w:r>
    </w:p>
    <w:p w:rsidR="00095611" w:rsidRPr="00095611" w:rsidRDefault="00095611" w:rsidP="00095611">
      <w:pPr>
        <w:pStyle w:val="Brdtekst"/>
      </w:pPr>
    </w:p>
    <w:p w:rsidR="00B64787" w:rsidRDefault="00B64787">
      <w:pPr>
        <w:spacing w:line="240" w:lineRule="auto"/>
        <w:rPr>
          <w:sz w:val="36"/>
        </w:rPr>
      </w:pPr>
      <w:bookmarkStart w:id="7" w:name="_Toc405554993"/>
      <w:r>
        <w:br w:type="page"/>
      </w:r>
    </w:p>
    <w:p w:rsidR="00473AE2" w:rsidRDefault="00226D89" w:rsidP="00F06EF6">
      <w:pPr>
        <w:pStyle w:val="Overskrift1"/>
      </w:pPr>
      <w:bookmarkStart w:id="8" w:name="_Toc408406233"/>
      <w:bookmarkEnd w:id="7"/>
      <w:r>
        <w:lastRenderedPageBreak/>
        <w:t>Udskiftning af vindmøller på Tåsinge</w:t>
      </w:r>
      <w:bookmarkEnd w:id="8"/>
    </w:p>
    <w:p w:rsidR="00226D89" w:rsidRDefault="00226D89" w:rsidP="00226D89">
      <w:pPr>
        <w:pStyle w:val="Brdtekst"/>
      </w:pPr>
      <w:r>
        <w:t xml:space="preserve">To af </w:t>
      </w:r>
      <w:r w:rsidR="000410ED">
        <w:t xml:space="preserve">de eksisterende </w:t>
      </w:r>
      <w:r>
        <w:t>vindmøller står tæt på hinanden ved kysten</w:t>
      </w:r>
      <w:r w:rsidR="00DF2A98">
        <w:t xml:space="preserve"> og</w:t>
      </w:r>
      <w:r>
        <w:t xml:space="preserve"> den </w:t>
      </w:r>
      <w:r w:rsidR="00DF2A98">
        <w:t>tredje</w:t>
      </w:r>
      <w:r>
        <w:t xml:space="preserve"> vindmølle står længere inde på land. Afstanden fra møllen inde i land til kystmøllerne er ca. 1000 m.</w:t>
      </w:r>
    </w:p>
    <w:p w:rsidR="00226D89" w:rsidRDefault="00226D89" w:rsidP="00226D89">
      <w:pPr>
        <w:pStyle w:val="Brdtekst"/>
      </w:pPr>
      <w:r>
        <w:t xml:space="preserve">Afstanden mellem de </w:t>
      </w:r>
      <w:r w:rsidR="00DF2A98">
        <w:t>to eksisterende kystmøller</w:t>
      </w:r>
      <w:r>
        <w:t xml:space="preserve"> er under halvdelen af den anbefalede afstand</w:t>
      </w:r>
      <w:r w:rsidR="00DF2A98">
        <w:t>, og da den tredje mølle befinder sig blot 300 m fra nærmeste bolig ønsker Svendborg Kommune at sanere de tre vindmøller</w:t>
      </w:r>
      <w:r w:rsidR="00134786">
        <w:t xml:space="preserve"> </w:t>
      </w:r>
      <w:r>
        <w:t xml:space="preserve">samtidig (skrivelse fra Svendborg Kommune til Naturstyrelsen). </w:t>
      </w:r>
    </w:p>
    <w:p w:rsidR="007E4B97" w:rsidRDefault="00226D89" w:rsidP="00226D89">
      <w:pPr>
        <w:pStyle w:val="Brdtekst"/>
      </w:pPr>
      <w:r>
        <w:t xml:space="preserve">I den beskrevne </w:t>
      </w:r>
      <w:r w:rsidR="002F015C">
        <w:t>sanerings</w:t>
      </w:r>
      <w:r>
        <w:t xml:space="preserve">løsning bliver de tre nuværende vindmøller </w:t>
      </w:r>
      <w:r w:rsidR="00134786">
        <w:t>såled</w:t>
      </w:r>
      <w:r w:rsidR="002F015C">
        <w:t>e</w:t>
      </w:r>
      <w:r w:rsidR="00134786">
        <w:t xml:space="preserve">s </w:t>
      </w:r>
      <w:r>
        <w:t>nedtaget, og der opstilles to vindmøller med en totalhøjde på 80m</w:t>
      </w:r>
      <w:r w:rsidR="002F015C">
        <w:t xml:space="preserve">. Disse to møller placeres </w:t>
      </w:r>
      <w:r w:rsidR="00134786">
        <w:t xml:space="preserve">kystnært </w:t>
      </w:r>
      <w:r w:rsidR="00137F2C">
        <w:t xml:space="preserve">som de nuværende </w:t>
      </w:r>
      <w:r>
        <w:t>vindmøller</w:t>
      </w:r>
      <w:r>
        <w:fldChar w:fldCharType="begin"/>
      </w:r>
      <w:r>
        <w:instrText xml:space="preserve"> REF _Ref405787538 \h </w:instrText>
      </w:r>
      <w:r>
        <w:fldChar w:fldCharType="separate"/>
      </w:r>
      <w:r w:rsidR="00DA536A" w:rsidRPr="00E32655">
        <w:rPr>
          <w:b/>
          <w:bCs/>
        </w:rPr>
        <w:t>Error! Reference source not found.</w:t>
      </w:r>
      <w:r>
        <w:fldChar w:fldCharType="end"/>
      </w:r>
      <w:r>
        <w:t>. På denne måde imødekommer Svendborg Kommune det statslige ønske om at sanere små vindmøller i Danmark og erstatte dem med færre, men mere effektive vindmøller.</w:t>
      </w:r>
      <w:r w:rsidR="00134786">
        <w:t xml:space="preserve"> Kommunen vil desuden tilgodese et lokalt behov for at kunne aftage mere vedvarende energi.</w:t>
      </w:r>
    </w:p>
    <w:p w:rsidR="00226D89" w:rsidRDefault="00226D89" w:rsidP="00226D89">
      <w:pPr>
        <w:pStyle w:val="Brdtekst"/>
      </w:pPr>
      <w:r>
        <w:t>Svendborg Kommune tillægger det stor vægt at få vindmøllerne i området samlet, således at resten af området friholdes</w:t>
      </w:r>
      <w:r w:rsidR="002F015C">
        <w:t xml:space="preserve"> for møller</w:t>
      </w:r>
      <w:r>
        <w:t xml:space="preserve">. Den permanente fjernelse af den </w:t>
      </w:r>
      <w:r w:rsidR="00134786">
        <w:t>østlige</w:t>
      </w:r>
      <w:r>
        <w:t xml:space="preserve"> vindmølle vil resultere i, at væsentligt færre boliger vil blive påvirket af </w:t>
      </w:r>
      <w:r w:rsidR="002F015C">
        <w:t xml:space="preserve">støj og skyggekast fra </w:t>
      </w:r>
      <w:r>
        <w:t>vindmøller.</w:t>
      </w:r>
    </w:p>
    <w:p w:rsidR="007E4B97" w:rsidRDefault="007E4B97" w:rsidP="00226D89">
      <w:pPr>
        <w:pStyle w:val="Brdtekst"/>
      </w:pPr>
      <w:r>
        <w:t xml:space="preserve">De nye møller vil have følgende </w:t>
      </w:r>
      <w:r w:rsidR="00474CF7">
        <w:t>dimensioner:</w:t>
      </w:r>
    </w:p>
    <w:p w:rsidR="00474CF7" w:rsidRDefault="00474CF7" w:rsidP="00E54376">
      <w:pPr>
        <w:pStyle w:val="ListBulletNoSpace"/>
      </w:pPr>
      <w:r>
        <w:t>Højde</w:t>
      </w:r>
      <w:r>
        <w:tab/>
      </w:r>
      <w:r>
        <w:tab/>
      </w:r>
      <w:r>
        <w:tab/>
        <w:t>80 m</w:t>
      </w:r>
    </w:p>
    <w:p w:rsidR="00474CF7" w:rsidRDefault="00474CF7" w:rsidP="00E54376">
      <w:pPr>
        <w:pStyle w:val="ListBulletNoSpace"/>
      </w:pPr>
      <w:r>
        <w:t>Rotordiameter</w:t>
      </w:r>
      <w:r>
        <w:tab/>
      </w:r>
      <w:r>
        <w:tab/>
        <w:t>66 m</w:t>
      </w:r>
    </w:p>
    <w:p w:rsidR="00474CF7" w:rsidRDefault="00474CF7" w:rsidP="00E54376">
      <w:pPr>
        <w:pStyle w:val="ListBulletNoSpace"/>
      </w:pPr>
      <w:r>
        <w:t>Navhøjde</w:t>
      </w:r>
      <w:r>
        <w:tab/>
      </w:r>
      <w:r>
        <w:tab/>
        <w:t>47 m</w:t>
      </w:r>
    </w:p>
    <w:p w:rsidR="00714DF9" w:rsidRDefault="00714DF9" w:rsidP="00714DF9">
      <w:pPr>
        <w:pStyle w:val="ListBulletNoSpace"/>
        <w:numPr>
          <w:ilvl w:val="0"/>
          <w:numId w:val="0"/>
        </w:numPr>
        <w:ind w:left="425"/>
      </w:pPr>
    </w:p>
    <w:p w:rsidR="00226D89" w:rsidRDefault="00226D89" w:rsidP="00226D89">
      <w:pPr>
        <w:pStyle w:val="Brdtekst"/>
      </w:pPr>
      <w:r>
        <w:t xml:space="preserve">Placeringen af de to nye vindmøller er valgt for at overholde </w:t>
      </w:r>
      <w:r w:rsidR="00134786">
        <w:t xml:space="preserve">gældende </w:t>
      </w:r>
      <w:r>
        <w:t>støjkrav</w:t>
      </w:r>
      <w:r>
        <w:rPr>
          <w:rStyle w:val="Fodnotehenvisning"/>
        </w:rPr>
        <w:footnoteReference w:id="3"/>
      </w:r>
      <w:r>
        <w:t xml:space="preserve"> og for at opnå høj effektivitet fra vindmøllerne</w:t>
      </w:r>
      <w:r>
        <w:fldChar w:fldCharType="begin"/>
      </w:r>
      <w:r>
        <w:instrText xml:space="preserve"> REF _Ref405787538 \h </w:instrText>
      </w:r>
      <w:r>
        <w:fldChar w:fldCharType="separate"/>
      </w:r>
      <w:r w:rsidR="00DA536A" w:rsidRPr="00E32655">
        <w:rPr>
          <w:b/>
          <w:bCs/>
        </w:rPr>
        <w:t>Error! Reference source not found.</w:t>
      </w:r>
      <w:r>
        <w:fldChar w:fldCharType="end"/>
      </w:r>
      <w:r>
        <w:t>. De nye større vindmøller kan kun overholde støjkravet, hvis de placeres i strand</w:t>
      </w:r>
      <w:r>
        <w:lastRenderedPageBreak/>
        <w:t>beskyttelseszonen</w:t>
      </w:r>
      <w:r>
        <w:fldChar w:fldCharType="begin"/>
      </w:r>
      <w:r>
        <w:instrText xml:space="preserve"> REF _Ref405789361 \h </w:instrText>
      </w:r>
      <w:r>
        <w:fldChar w:fldCharType="separate"/>
      </w:r>
      <w:r w:rsidR="00DA536A" w:rsidRPr="00E32655">
        <w:rPr>
          <w:b/>
          <w:bCs/>
        </w:rPr>
        <w:t>Error! Reference source not found.</w:t>
      </w:r>
      <w:r>
        <w:fldChar w:fldCharType="end"/>
      </w:r>
      <w:r>
        <w:t>.</w:t>
      </w:r>
      <w:r w:rsidR="002F015C">
        <w:t xml:space="preserve"> Der er i denne vurdering ikke taget stilling til</w:t>
      </w:r>
      <w:r w:rsidR="00B7050E">
        <w:t>,</w:t>
      </w:r>
      <w:r w:rsidR="002F015C">
        <w:t xml:space="preserve"> hvorvidt der kan meddeles dispensation fr</w:t>
      </w:r>
      <w:r w:rsidR="00D159CF">
        <w:t>a</w:t>
      </w:r>
      <w:r w:rsidR="002F015C">
        <w:t xml:space="preserve"> strandbeskyttelseslinjen. </w:t>
      </w:r>
    </w:p>
    <w:p w:rsidR="00B7050E" w:rsidRDefault="00B7050E" w:rsidP="00226D89">
      <w:pPr>
        <w:pStyle w:val="Brdtekst"/>
      </w:pPr>
    </w:p>
    <w:p w:rsidR="00226D89" w:rsidRDefault="00226D89" w:rsidP="00226D89">
      <w:pPr>
        <w:pStyle w:val="Brdtekst"/>
      </w:pPr>
      <w:r>
        <w:rPr>
          <w:noProof/>
        </w:rPr>
        <w:drawing>
          <wp:inline distT="0" distB="0" distL="0" distR="0" wp14:anchorId="025A3B5A" wp14:editId="5AA3A6AA">
            <wp:extent cx="4663440" cy="53035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3440" cy="5303520"/>
                    </a:xfrm>
                    <a:prstGeom prst="rect">
                      <a:avLst/>
                    </a:prstGeom>
                    <a:noFill/>
                    <a:ln>
                      <a:noFill/>
                    </a:ln>
                  </pic:spPr>
                </pic:pic>
              </a:graphicData>
            </a:graphic>
          </wp:inline>
        </w:drawing>
      </w:r>
    </w:p>
    <w:p w:rsidR="00226D89" w:rsidRPr="007E4B97" w:rsidRDefault="00226D89" w:rsidP="00226D89">
      <w:pPr>
        <w:pStyle w:val="Brdtekst"/>
        <w:rPr>
          <w:i/>
        </w:rPr>
      </w:pPr>
      <w:r w:rsidRPr="007E4B97">
        <w:rPr>
          <w:i/>
        </w:rPr>
        <w:t xml:space="preserve">Figur </w:t>
      </w:r>
      <w:r w:rsidR="00107DE7">
        <w:rPr>
          <w:i/>
        </w:rPr>
        <w:fldChar w:fldCharType="begin"/>
      </w:r>
      <w:r w:rsidR="00107DE7">
        <w:rPr>
          <w:i/>
        </w:rPr>
        <w:instrText xml:space="preserve"> STYLEREF 1 \s </w:instrText>
      </w:r>
      <w:r w:rsidR="00107DE7">
        <w:rPr>
          <w:i/>
        </w:rPr>
        <w:fldChar w:fldCharType="separate"/>
      </w:r>
      <w:r w:rsidR="00DA536A">
        <w:rPr>
          <w:i/>
          <w:noProof/>
        </w:rPr>
        <w:t>2</w:t>
      </w:r>
      <w:r w:rsidR="00107DE7">
        <w:rPr>
          <w:i/>
        </w:rPr>
        <w:fldChar w:fldCharType="end"/>
      </w:r>
      <w:r w:rsidR="00107DE7">
        <w:rPr>
          <w:i/>
        </w:rPr>
        <w:noBreakHyphen/>
      </w:r>
      <w:r w:rsidR="00107DE7">
        <w:rPr>
          <w:i/>
        </w:rPr>
        <w:fldChar w:fldCharType="begin"/>
      </w:r>
      <w:r w:rsidR="00107DE7">
        <w:rPr>
          <w:i/>
        </w:rPr>
        <w:instrText xml:space="preserve"> SEQ Figur \* ARABIC \s 1 </w:instrText>
      </w:r>
      <w:r w:rsidR="00107DE7">
        <w:rPr>
          <w:i/>
        </w:rPr>
        <w:fldChar w:fldCharType="separate"/>
      </w:r>
      <w:r w:rsidR="00DA536A">
        <w:rPr>
          <w:i/>
          <w:noProof/>
        </w:rPr>
        <w:t>1</w:t>
      </w:r>
      <w:r w:rsidR="00107DE7">
        <w:rPr>
          <w:i/>
        </w:rPr>
        <w:fldChar w:fldCharType="end"/>
      </w:r>
      <w:r w:rsidR="00B7050E">
        <w:rPr>
          <w:i/>
        </w:rPr>
        <w:t xml:space="preserve"> </w:t>
      </w:r>
      <w:r w:rsidR="00B7050E">
        <w:rPr>
          <w:i/>
        </w:rPr>
        <w:tab/>
        <w:t xml:space="preserve">Støjkort over </w:t>
      </w:r>
      <w:r w:rsidR="00134786">
        <w:rPr>
          <w:i/>
        </w:rPr>
        <w:t>eksisterende</w:t>
      </w:r>
      <w:r w:rsidR="00B7050E">
        <w:rPr>
          <w:i/>
        </w:rPr>
        <w:t xml:space="preserve"> og</w:t>
      </w:r>
      <w:r w:rsidRPr="007E4B97">
        <w:rPr>
          <w:i/>
        </w:rPr>
        <w:t xml:space="preserve"> </w:t>
      </w:r>
      <w:r w:rsidR="00134786">
        <w:rPr>
          <w:i/>
        </w:rPr>
        <w:t>planlagte</w:t>
      </w:r>
      <w:r w:rsidRPr="007E4B97">
        <w:rPr>
          <w:i/>
        </w:rPr>
        <w:t xml:space="preserve"> vindmøller (fra informationsfolder)</w:t>
      </w:r>
      <w:r w:rsidR="00134786">
        <w:rPr>
          <w:i/>
        </w:rPr>
        <w:t>.</w:t>
      </w:r>
    </w:p>
    <w:p w:rsidR="007E4B97" w:rsidRDefault="007E4B97" w:rsidP="007E4B97">
      <w:pPr>
        <w:pStyle w:val="Brdtekst"/>
      </w:pPr>
    </w:p>
    <w:p w:rsidR="00473AE2" w:rsidRDefault="00473AE2" w:rsidP="007E4B97">
      <w:pPr>
        <w:pStyle w:val="Brdtekst"/>
      </w:pPr>
    </w:p>
    <w:p w:rsidR="00407657" w:rsidRDefault="00407657" w:rsidP="003B46A4">
      <w:pPr>
        <w:pStyle w:val="Billedtekst"/>
      </w:pPr>
    </w:p>
    <w:p w:rsidR="003073CC" w:rsidRDefault="00A07ABD" w:rsidP="00407657">
      <w:pPr>
        <w:pStyle w:val="Billedtekst"/>
      </w:pPr>
      <w:r>
        <w:t>.</w:t>
      </w:r>
    </w:p>
    <w:p w:rsidR="00473AE2" w:rsidRDefault="00473AE2" w:rsidP="003B46A4">
      <w:pPr>
        <w:pStyle w:val="Billedtekst"/>
      </w:pPr>
      <w:r>
        <w:tab/>
      </w:r>
    </w:p>
    <w:p w:rsidR="00E54376" w:rsidRDefault="00E54376" w:rsidP="00714DF9">
      <w:pPr>
        <w:pStyle w:val="Overskrift1"/>
      </w:pPr>
      <w:bookmarkStart w:id="9" w:name="_Toc408406234"/>
      <w:r>
        <w:lastRenderedPageBreak/>
        <w:t xml:space="preserve">Natura 2000-område </w:t>
      </w:r>
      <w:r w:rsidR="00B24446">
        <w:t>N</w:t>
      </w:r>
      <w:r>
        <w:t>127 – Sydfynske Øhav</w:t>
      </w:r>
      <w:bookmarkEnd w:id="9"/>
    </w:p>
    <w:p w:rsidR="002F015C" w:rsidRDefault="00E54376" w:rsidP="00A34172">
      <w:pPr>
        <w:pStyle w:val="Brdtekst"/>
      </w:pPr>
      <w:r>
        <w:t xml:space="preserve">Natura 2000-område </w:t>
      </w:r>
      <w:r w:rsidR="00B24446">
        <w:t>N</w:t>
      </w:r>
      <w:r>
        <w:t>127 (Sydfynske Øhav) udgøres af habitat</w:t>
      </w:r>
      <w:r w:rsidR="00DE723E">
        <w:t>område H111</w:t>
      </w:r>
      <w:r>
        <w:t xml:space="preserve"> og fuglebeskyttelse</w:t>
      </w:r>
      <w:r w:rsidR="00EE56ED">
        <w:t>s</w:t>
      </w:r>
      <w:r>
        <w:t>områder</w:t>
      </w:r>
      <w:r w:rsidR="00DE723E">
        <w:t xml:space="preserve"> F71 og F72</w:t>
      </w:r>
      <w:r>
        <w:t>. De områder, som vurderes at kunne blive påvirket af etableringen af de to vindmøller, er nævnt nedenfor og deres udpegningsgrundlag er angivet.</w:t>
      </w:r>
    </w:p>
    <w:p w:rsidR="00A21F73" w:rsidRDefault="00A21F73" w:rsidP="00A34172">
      <w:pPr>
        <w:pStyle w:val="Brdtekst"/>
      </w:pPr>
      <w:r>
        <w:t xml:space="preserve">Det vurderes, at arter på udpegningsgrundlaget for fuglebeskyttelsesområde </w:t>
      </w:r>
      <w:r w:rsidR="00B24446">
        <w:t>F</w:t>
      </w:r>
      <w:r>
        <w:t xml:space="preserve">72 ikke vil blive påvirket af vindmøllerne grundet </w:t>
      </w:r>
      <w:r w:rsidR="00134786">
        <w:t>den lange afstand fra vindmølle</w:t>
      </w:r>
      <w:r w:rsidR="00F406F2">
        <w:t xml:space="preserve">placeringen </w:t>
      </w:r>
      <w:r w:rsidR="00134786">
        <w:t xml:space="preserve">til </w:t>
      </w:r>
      <w:r w:rsidR="008E492F">
        <w:t xml:space="preserve">fuglebeskyttelsesområde </w:t>
      </w:r>
      <w:r w:rsidR="00B24446">
        <w:t>F</w:t>
      </w:r>
      <w:r w:rsidR="008E492F">
        <w:t>72</w:t>
      </w:r>
      <w:r>
        <w:t xml:space="preserve"> (ca. 15 km). Derfor indgår udpegningsgrundlaget for dette område ikke i </w:t>
      </w:r>
      <w:r w:rsidR="00134786">
        <w:t>nærværende vurdering</w:t>
      </w:r>
      <w:r w:rsidR="00F406F2">
        <w:t xml:space="preserve">. </w:t>
      </w:r>
    </w:p>
    <w:p w:rsidR="00422523" w:rsidRDefault="00422523" w:rsidP="00041C73">
      <w:pPr>
        <w:pStyle w:val="Brdtekst"/>
        <w:keepNext/>
      </w:pPr>
      <w:r>
        <w:rPr>
          <w:noProof/>
        </w:rPr>
        <w:drawing>
          <wp:inline distT="0" distB="0" distL="0" distR="0" wp14:anchorId="7E3F8408" wp14:editId="0401A13C">
            <wp:extent cx="2285392" cy="3286125"/>
            <wp:effectExtent l="0" t="0" r="635" b="0"/>
            <wp:docPr id="25" name="Picture 25" descr="C:\Users\ASTH\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H\Desktop\Captur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3929" cy="3327158"/>
                    </a:xfrm>
                    <a:prstGeom prst="rect">
                      <a:avLst/>
                    </a:prstGeom>
                    <a:noFill/>
                    <a:ln>
                      <a:noFill/>
                    </a:ln>
                  </pic:spPr>
                </pic:pic>
              </a:graphicData>
            </a:graphic>
          </wp:inline>
        </w:drawing>
      </w:r>
    </w:p>
    <w:p w:rsidR="00422523" w:rsidRPr="00B7050E" w:rsidRDefault="00422523" w:rsidP="00422523">
      <w:pPr>
        <w:pStyle w:val="Billedtekst"/>
        <w:rPr>
          <w:sz w:val="20"/>
        </w:rPr>
      </w:pPr>
      <w:r w:rsidRPr="00B7050E">
        <w:rPr>
          <w:sz w:val="20"/>
        </w:rPr>
        <w:t xml:space="preserve">Figur </w:t>
      </w:r>
      <w:r w:rsidR="0028205D" w:rsidRPr="00B7050E">
        <w:rPr>
          <w:sz w:val="20"/>
        </w:rPr>
        <w:fldChar w:fldCharType="begin"/>
      </w:r>
      <w:r w:rsidR="0028205D" w:rsidRPr="00B7050E">
        <w:rPr>
          <w:sz w:val="20"/>
        </w:rPr>
        <w:instrText xml:space="preserve"> STYLEREF 1 \s </w:instrText>
      </w:r>
      <w:r w:rsidR="0028205D" w:rsidRPr="00B7050E">
        <w:rPr>
          <w:sz w:val="20"/>
        </w:rPr>
        <w:fldChar w:fldCharType="separate"/>
      </w:r>
      <w:r w:rsidR="00DA536A">
        <w:rPr>
          <w:noProof/>
          <w:sz w:val="20"/>
        </w:rPr>
        <w:t>3</w:t>
      </w:r>
      <w:r w:rsidR="0028205D" w:rsidRPr="00B7050E">
        <w:rPr>
          <w:noProof/>
          <w:sz w:val="20"/>
        </w:rPr>
        <w:fldChar w:fldCharType="end"/>
      </w:r>
      <w:r w:rsidR="00107DE7" w:rsidRPr="00B7050E">
        <w:rPr>
          <w:sz w:val="20"/>
        </w:rPr>
        <w:noBreakHyphen/>
      </w:r>
      <w:r w:rsidR="0028205D" w:rsidRPr="00B7050E">
        <w:rPr>
          <w:sz w:val="20"/>
        </w:rPr>
        <w:fldChar w:fldCharType="begin"/>
      </w:r>
      <w:r w:rsidR="0028205D" w:rsidRPr="00B7050E">
        <w:rPr>
          <w:sz w:val="20"/>
        </w:rPr>
        <w:instrText xml:space="preserve"> SEQ Figur \* ARABIC \s 1 </w:instrText>
      </w:r>
      <w:r w:rsidR="0028205D" w:rsidRPr="00B7050E">
        <w:rPr>
          <w:sz w:val="20"/>
        </w:rPr>
        <w:fldChar w:fldCharType="separate"/>
      </w:r>
      <w:r w:rsidR="00DA536A">
        <w:rPr>
          <w:noProof/>
          <w:sz w:val="20"/>
        </w:rPr>
        <w:t>1</w:t>
      </w:r>
      <w:r w:rsidR="0028205D" w:rsidRPr="00B7050E">
        <w:rPr>
          <w:noProof/>
          <w:sz w:val="20"/>
        </w:rPr>
        <w:fldChar w:fldCharType="end"/>
      </w:r>
      <w:r w:rsidRPr="00B7050E">
        <w:rPr>
          <w:sz w:val="20"/>
        </w:rPr>
        <w:tab/>
        <w:t>Natura 2000-områdets afgrænsning (sort afgrænsning). Natura 2000-området består af habitatområde H111 (grøn afgrænsning) og fuglebeskyttelsesområderne F71 og F72 (blå farve). Andre Natura 2000-områder er vist med sort afgrænsning og N-nr</w:t>
      </w:r>
      <w:r w:rsidR="00F406F2" w:rsidRPr="00B7050E">
        <w:rPr>
          <w:sz w:val="20"/>
        </w:rPr>
        <w:t>.</w:t>
      </w:r>
      <w:r w:rsidRPr="00B7050E">
        <w:rPr>
          <w:sz w:val="20"/>
        </w:rPr>
        <w:t xml:space="preserve"> (Naturstyrelsen 2013)</w:t>
      </w:r>
      <w:r w:rsidR="00134786" w:rsidRPr="00B7050E">
        <w:rPr>
          <w:sz w:val="20"/>
        </w:rPr>
        <w:t>.</w:t>
      </w:r>
    </w:p>
    <w:p w:rsidR="00473AE2" w:rsidRDefault="00473AE2" w:rsidP="00473AE2">
      <w:pPr>
        <w:pStyle w:val="Overskrift2"/>
        <w:spacing w:before="500" w:line="320" w:lineRule="atLeast"/>
      </w:pPr>
      <w:bookmarkStart w:id="10" w:name="_Toc405554994"/>
      <w:bookmarkStart w:id="11" w:name="_Toc408406235"/>
      <w:r>
        <w:lastRenderedPageBreak/>
        <w:t>Habitatområde H111</w:t>
      </w:r>
      <w:bookmarkEnd w:id="10"/>
      <w:r w:rsidR="003073CC">
        <w:t xml:space="preserve"> (Sydfynske Øhav)</w:t>
      </w:r>
      <w:bookmarkEnd w:id="11"/>
    </w:p>
    <w:p w:rsidR="00546B91" w:rsidRDefault="00473AE2" w:rsidP="00F06EF6">
      <w:pPr>
        <w:pStyle w:val="Brdtekst"/>
      </w:pPr>
      <w:r>
        <w:t xml:space="preserve">Habitatområde </w:t>
      </w:r>
      <w:r w:rsidR="00134786">
        <w:t>H</w:t>
      </w:r>
      <w:r>
        <w:t>111</w:t>
      </w:r>
      <w:r w:rsidR="00C20866">
        <w:t xml:space="preserve"> </w:t>
      </w:r>
      <w:r>
        <w:t xml:space="preserve">er et </w:t>
      </w:r>
      <w:r w:rsidR="00BB690D">
        <w:t xml:space="preserve">ca. 45.000 ha </w:t>
      </w:r>
      <w:r>
        <w:t xml:space="preserve">stort område, der omfatter </w:t>
      </w:r>
      <w:r w:rsidR="00BB690D">
        <w:t>37.000 ha hav og 8.000 ha land.</w:t>
      </w:r>
      <w:r w:rsidR="00E5679F">
        <w:t xml:space="preserve"> For området er der både udpeget terrestriske og marine naturtyper samt fire arter</w:t>
      </w:r>
      <w:r w:rsidR="00546B91">
        <w:t>.</w:t>
      </w:r>
      <w:r>
        <w:t xml:space="preserve"> </w:t>
      </w:r>
      <w:r w:rsidR="00134786">
        <w:t>Udpegningsgrundlaget er angivet i</w:t>
      </w:r>
      <w:r w:rsidR="0076554B">
        <w:t xml:space="preserve"> </w:t>
      </w:r>
      <w:r w:rsidR="00B7050E">
        <w:fldChar w:fldCharType="begin"/>
      </w:r>
      <w:r w:rsidR="00B7050E">
        <w:instrText xml:space="preserve"> REF _Ref408401862 \h </w:instrText>
      </w:r>
      <w:r w:rsidR="00B7050E">
        <w:fldChar w:fldCharType="separate"/>
      </w:r>
      <w:r w:rsidR="00DA536A" w:rsidRPr="00B7050E">
        <w:t xml:space="preserve">Tabel </w:t>
      </w:r>
      <w:r w:rsidR="00DA536A">
        <w:rPr>
          <w:noProof/>
        </w:rPr>
        <w:t>3</w:t>
      </w:r>
      <w:r w:rsidR="00DA536A" w:rsidRPr="00B7050E">
        <w:noBreakHyphen/>
      </w:r>
      <w:r w:rsidR="00DA536A">
        <w:rPr>
          <w:noProof/>
        </w:rPr>
        <w:t>1</w:t>
      </w:r>
      <w:r w:rsidR="00B7050E">
        <w:fldChar w:fldCharType="end"/>
      </w:r>
    </w:p>
    <w:p w:rsidR="0076554B" w:rsidRDefault="0076554B" w:rsidP="0076554B">
      <w:pPr>
        <w:pStyle w:val="Brdtekst"/>
        <w:keepNext/>
      </w:pPr>
      <w:r>
        <w:rPr>
          <w:noProof/>
        </w:rPr>
        <w:drawing>
          <wp:inline distT="0" distB="0" distL="0" distR="0" wp14:anchorId="6D8DFF96" wp14:editId="6A41D54B">
            <wp:extent cx="4679950" cy="2484755"/>
            <wp:effectExtent l="0" t="0" r="6350" b="0"/>
            <wp:docPr id="20" name="Picture 20" descr="C:\Users\ukj\AppData\Local\Microsoft\Windows\Temporary Internet Files\Content.Word\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kj\AppData\Local\Microsoft\Windows\Temporary Internet Files\Content.Word\Capture (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9950" cy="2484755"/>
                    </a:xfrm>
                    <a:prstGeom prst="rect">
                      <a:avLst/>
                    </a:prstGeom>
                    <a:noFill/>
                    <a:ln>
                      <a:noFill/>
                    </a:ln>
                  </pic:spPr>
                </pic:pic>
              </a:graphicData>
            </a:graphic>
          </wp:inline>
        </w:drawing>
      </w:r>
    </w:p>
    <w:p w:rsidR="00B7050E" w:rsidRPr="00B7050E" w:rsidRDefault="00B7050E" w:rsidP="00B7050E">
      <w:pPr>
        <w:pStyle w:val="Billedtekst"/>
        <w:rPr>
          <w:sz w:val="20"/>
        </w:rPr>
      </w:pPr>
      <w:bookmarkStart w:id="12" w:name="_Ref408401862"/>
      <w:r w:rsidRPr="00B7050E">
        <w:rPr>
          <w:sz w:val="20"/>
        </w:rPr>
        <w:t xml:space="preserve">Tabel </w:t>
      </w:r>
      <w:r w:rsidRPr="00B7050E">
        <w:rPr>
          <w:sz w:val="20"/>
        </w:rPr>
        <w:fldChar w:fldCharType="begin"/>
      </w:r>
      <w:r w:rsidRPr="00B7050E">
        <w:rPr>
          <w:sz w:val="20"/>
        </w:rPr>
        <w:instrText xml:space="preserve"> STYLEREF 1 \s </w:instrText>
      </w:r>
      <w:r w:rsidRPr="00B7050E">
        <w:rPr>
          <w:sz w:val="20"/>
        </w:rPr>
        <w:fldChar w:fldCharType="separate"/>
      </w:r>
      <w:r w:rsidR="00DA536A">
        <w:rPr>
          <w:noProof/>
          <w:sz w:val="20"/>
        </w:rPr>
        <w:t>3</w:t>
      </w:r>
      <w:r w:rsidRPr="00B7050E">
        <w:rPr>
          <w:sz w:val="20"/>
        </w:rPr>
        <w:fldChar w:fldCharType="end"/>
      </w:r>
      <w:r w:rsidRPr="00B7050E">
        <w:rPr>
          <w:sz w:val="20"/>
        </w:rPr>
        <w:noBreakHyphen/>
      </w:r>
      <w:r w:rsidRPr="00B7050E">
        <w:rPr>
          <w:sz w:val="20"/>
        </w:rPr>
        <w:fldChar w:fldCharType="begin"/>
      </w:r>
      <w:r w:rsidRPr="00B7050E">
        <w:rPr>
          <w:sz w:val="20"/>
        </w:rPr>
        <w:instrText xml:space="preserve"> SEQ Tabel \* ARABIC \s 1 </w:instrText>
      </w:r>
      <w:r w:rsidRPr="00B7050E">
        <w:rPr>
          <w:sz w:val="20"/>
        </w:rPr>
        <w:fldChar w:fldCharType="separate"/>
      </w:r>
      <w:r w:rsidR="00DA536A">
        <w:rPr>
          <w:noProof/>
          <w:sz w:val="20"/>
        </w:rPr>
        <w:t>1</w:t>
      </w:r>
      <w:r w:rsidRPr="00B7050E">
        <w:rPr>
          <w:sz w:val="20"/>
        </w:rPr>
        <w:fldChar w:fldCharType="end"/>
      </w:r>
      <w:bookmarkEnd w:id="12"/>
      <w:r w:rsidRPr="00B7050E">
        <w:rPr>
          <w:sz w:val="20"/>
        </w:rPr>
        <w:t xml:space="preserve">   Udpegningsgrundlag for habitatområde H111.</w:t>
      </w:r>
    </w:p>
    <w:p w:rsidR="00473AE2" w:rsidRDefault="00473AE2" w:rsidP="00473AE2">
      <w:pPr>
        <w:pStyle w:val="Overskrift2"/>
        <w:spacing w:before="500" w:line="320" w:lineRule="atLeast"/>
      </w:pPr>
      <w:bookmarkStart w:id="13" w:name="_Toc405554995"/>
      <w:bookmarkStart w:id="14" w:name="_Toc408406236"/>
      <w:r>
        <w:t>Fuglebeskyttelsesområde F71</w:t>
      </w:r>
      <w:bookmarkEnd w:id="13"/>
      <w:r w:rsidR="003073CC">
        <w:t xml:space="preserve"> (Sydfynske Øhav)</w:t>
      </w:r>
      <w:bookmarkEnd w:id="14"/>
    </w:p>
    <w:p w:rsidR="00473AE2" w:rsidRDefault="001F721B" w:rsidP="00473AE2">
      <w:pPr>
        <w:pStyle w:val="Brdtekst"/>
      </w:pPr>
      <w:r>
        <w:t xml:space="preserve">Fuglebeskyttelsesområde </w:t>
      </w:r>
      <w:r w:rsidR="00134786">
        <w:t>F</w:t>
      </w:r>
      <w:r w:rsidR="00473AE2">
        <w:t xml:space="preserve">71 er </w:t>
      </w:r>
      <w:r w:rsidR="0032352E">
        <w:t>38.000 ha stort og omfatter både land og vand.</w:t>
      </w:r>
      <w:r w:rsidR="00473AE2">
        <w:t xml:space="preserve"> Udpegningsgrundlag er angivet i</w:t>
      </w:r>
      <w:r w:rsidR="00546B91">
        <w:t xml:space="preserve"> </w:t>
      </w:r>
      <w:r w:rsidR="00546B91">
        <w:fldChar w:fldCharType="begin"/>
      </w:r>
      <w:r w:rsidR="00546B91">
        <w:instrText xml:space="preserve"> REF _Ref405997284 \h </w:instrText>
      </w:r>
      <w:r w:rsidR="00546B91">
        <w:fldChar w:fldCharType="separate"/>
      </w:r>
      <w:r w:rsidR="00DA536A" w:rsidRPr="00B7050E">
        <w:t xml:space="preserve">Tabel </w:t>
      </w:r>
      <w:r w:rsidR="00DA536A">
        <w:rPr>
          <w:noProof/>
        </w:rPr>
        <w:t>3</w:t>
      </w:r>
      <w:r w:rsidR="00DA536A" w:rsidRPr="00B7050E">
        <w:noBreakHyphen/>
      </w:r>
      <w:r w:rsidR="00DA536A">
        <w:rPr>
          <w:noProof/>
        </w:rPr>
        <w:t>2</w:t>
      </w:r>
      <w:r w:rsidR="00546B91">
        <w:fldChar w:fldCharType="end"/>
      </w:r>
      <w:r w:rsidR="00B7050E">
        <w:t>.</w:t>
      </w:r>
    </w:p>
    <w:p w:rsidR="00D763BB" w:rsidRPr="00B7050E" w:rsidRDefault="00D763BB" w:rsidP="00220D7E">
      <w:pPr>
        <w:pStyle w:val="Billedtekst"/>
        <w:keepNext/>
        <w:rPr>
          <w:sz w:val="20"/>
        </w:rPr>
      </w:pPr>
      <w:bookmarkStart w:id="15" w:name="_Ref405997284"/>
      <w:r w:rsidRPr="00B7050E">
        <w:rPr>
          <w:sz w:val="20"/>
        </w:rPr>
        <w:lastRenderedPageBreak/>
        <w:t xml:space="preserve">Tabel </w:t>
      </w:r>
      <w:r w:rsidR="00B7050E" w:rsidRPr="00B7050E">
        <w:rPr>
          <w:sz w:val="20"/>
        </w:rPr>
        <w:fldChar w:fldCharType="begin"/>
      </w:r>
      <w:r w:rsidR="00B7050E" w:rsidRPr="00B7050E">
        <w:rPr>
          <w:sz w:val="20"/>
        </w:rPr>
        <w:instrText xml:space="preserve"> STYLEREF 1 \s </w:instrText>
      </w:r>
      <w:r w:rsidR="00B7050E" w:rsidRPr="00B7050E">
        <w:rPr>
          <w:sz w:val="20"/>
        </w:rPr>
        <w:fldChar w:fldCharType="separate"/>
      </w:r>
      <w:r w:rsidR="00DA536A">
        <w:rPr>
          <w:noProof/>
          <w:sz w:val="20"/>
        </w:rPr>
        <w:t>3</w:t>
      </w:r>
      <w:r w:rsidR="00B7050E" w:rsidRPr="00B7050E">
        <w:rPr>
          <w:sz w:val="20"/>
        </w:rPr>
        <w:fldChar w:fldCharType="end"/>
      </w:r>
      <w:r w:rsidR="00B7050E" w:rsidRPr="00B7050E">
        <w:rPr>
          <w:sz w:val="20"/>
        </w:rPr>
        <w:noBreakHyphen/>
      </w:r>
      <w:r w:rsidR="00B7050E" w:rsidRPr="00B7050E">
        <w:rPr>
          <w:sz w:val="20"/>
        </w:rPr>
        <w:fldChar w:fldCharType="begin"/>
      </w:r>
      <w:r w:rsidR="00B7050E" w:rsidRPr="00B7050E">
        <w:rPr>
          <w:sz w:val="20"/>
        </w:rPr>
        <w:instrText xml:space="preserve"> SEQ Tabel \* ARABIC \s 1 </w:instrText>
      </w:r>
      <w:r w:rsidR="00B7050E" w:rsidRPr="00B7050E">
        <w:rPr>
          <w:sz w:val="20"/>
        </w:rPr>
        <w:fldChar w:fldCharType="separate"/>
      </w:r>
      <w:r w:rsidR="00DA536A">
        <w:rPr>
          <w:noProof/>
          <w:sz w:val="20"/>
        </w:rPr>
        <w:t>2</w:t>
      </w:r>
      <w:r w:rsidR="00B7050E" w:rsidRPr="00B7050E">
        <w:rPr>
          <w:sz w:val="20"/>
        </w:rPr>
        <w:fldChar w:fldCharType="end"/>
      </w:r>
      <w:bookmarkEnd w:id="15"/>
      <w:r w:rsidRPr="00B7050E">
        <w:rPr>
          <w:sz w:val="20"/>
        </w:rPr>
        <w:tab/>
        <w:t xml:space="preserve">Fuglearter på udpegningsgrundlaget for fuglebeskyttelsesområde </w:t>
      </w:r>
      <w:r w:rsidR="00134786" w:rsidRPr="00B7050E">
        <w:rPr>
          <w:sz w:val="20"/>
        </w:rPr>
        <w:t>F</w:t>
      </w:r>
      <w:r w:rsidRPr="00B7050E">
        <w:rPr>
          <w:sz w:val="20"/>
        </w:rPr>
        <w:t>71 (Sydfynske Øhav). T angiver om det er en trækfugl, der opholder sig i området i internationalt betydende antal. Y angiver om fuglen indgår som ynglefugl i udpegningsgrundlaget (Naturstyrelsen 2012a)</w:t>
      </w:r>
      <w:r w:rsidR="00134786" w:rsidRPr="00B7050E">
        <w:rPr>
          <w:sz w:val="20"/>
        </w:rPr>
        <w:t>.</w:t>
      </w:r>
    </w:p>
    <w:p w:rsidR="004F6425" w:rsidRPr="00867F76" w:rsidRDefault="004F6425" w:rsidP="00473AE2">
      <w:pPr>
        <w:pStyle w:val="Brdtekst"/>
      </w:pPr>
      <w:r>
        <w:rPr>
          <w:noProof/>
        </w:rPr>
        <w:drawing>
          <wp:inline distT="0" distB="0" distL="0" distR="0" wp14:anchorId="081BD195" wp14:editId="2E43F308">
            <wp:extent cx="4676775" cy="3200400"/>
            <wp:effectExtent l="0" t="0" r="9525" b="0"/>
            <wp:docPr id="192" name="Picture 192" descr="C:\Users\ASTH\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TH\Desktop\Captur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6775" cy="3200400"/>
                    </a:xfrm>
                    <a:prstGeom prst="rect">
                      <a:avLst/>
                    </a:prstGeom>
                    <a:noFill/>
                    <a:ln>
                      <a:noFill/>
                    </a:ln>
                  </pic:spPr>
                </pic:pic>
              </a:graphicData>
            </a:graphic>
          </wp:inline>
        </w:drawing>
      </w:r>
    </w:p>
    <w:p w:rsidR="00473AE2" w:rsidRDefault="00473AE2" w:rsidP="00473AE2">
      <w:pPr>
        <w:pStyle w:val="Billedtekst"/>
      </w:pPr>
      <w:r>
        <w:tab/>
      </w:r>
    </w:p>
    <w:p w:rsidR="00846E01" w:rsidRDefault="00546B91" w:rsidP="00594775">
      <w:pPr>
        <w:pStyle w:val="Brdtekst"/>
      </w:pPr>
      <w:r>
        <w:t xml:space="preserve">Naturstyrelsen </w:t>
      </w:r>
      <w:r w:rsidR="008E492F">
        <w:t xml:space="preserve">har i naturplanen for området </w:t>
      </w:r>
      <w:r>
        <w:t>(201</w:t>
      </w:r>
      <w:r w:rsidR="008E492F">
        <w:t>1</w:t>
      </w:r>
      <w:r>
        <w:t>) beskr</w:t>
      </w:r>
      <w:r w:rsidR="008E492F">
        <w:t xml:space="preserve">evet </w:t>
      </w:r>
      <w:r w:rsidR="00846E01">
        <w:t xml:space="preserve">trusler mod områdets naturværdier. Her beskrives bl.a. </w:t>
      </w:r>
      <w:r w:rsidR="00546AF3">
        <w:t>at f</w:t>
      </w:r>
      <w:r w:rsidR="00594775">
        <w:t>orstyrrelse kan være en afgørende faktor navnlig for truede og sårbare arter, der på grund af levevis og specifikke krav til levested vil være følsomme overfor menneskelige aktiviteter.</w:t>
      </w:r>
    </w:p>
    <w:p w:rsidR="00D763BB" w:rsidRDefault="00B7050E" w:rsidP="00473AE2">
      <w:pPr>
        <w:pStyle w:val="Brdtekst"/>
      </w:pPr>
      <w:r>
        <w:t>F</w:t>
      </w:r>
      <w:r w:rsidR="00D763BB">
        <w:t xml:space="preserve">lere af arterne </w:t>
      </w:r>
      <w:r>
        <w:t>på udpegningsgrundlaget vil y</w:t>
      </w:r>
      <w:r w:rsidR="00846E01">
        <w:t xml:space="preserve">ngle, </w:t>
      </w:r>
      <w:r w:rsidR="00D763BB">
        <w:t xml:space="preserve">søge føde </w:t>
      </w:r>
      <w:r>
        <w:t>og/</w:t>
      </w:r>
      <w:r w:rsidR="00D763BB">
        <w:t xml:space="preserve">eller </w:t>
      </w:r>
      <w:r w:rsidR="00846E01">
        <w:t xml:space="preserve">vil bruge </w:t>
      </w:r>
      <w:r w:rsidR="00546AF3">
        <w:t>projektområdet</w:t>
      </w:r>
      <w:r w:rsidR="00846E01">
        <w:t xml:space="preserve"> </w:t>
      </w:r>
      <w:r w:rsidR="00546AF3">
        <w:t>under trækket</w:t>
      </w:r>
      <w:r w:rsidR="00846E01">
        <w:t xml:space="preserve">. </w:t>
      </w:r>
    </w:p>
    <w:p w:rsidR="00594775" w:rsidRDefault="00594775" w:rsidP="00473AE2">
      <w:pPr>
        <w:pStyle w:val="Brdtekst"/>
      </w:pPr>
      <w:r>
        <w:t xml:space="preserve">I </w:t>
      </w:r>
      <w:r w:rsidR="008E492F">
        <w:t xml:space="preserve">naturplanen for området påpeger </w:t>
      </w:r>
      <w:r>
        <w:t>Naturstyrelsen (2011), at prognosen er ugunst</w:t>
      </w:r>
      <w:r w:rsidR="00E24DC6">
        <w:t>ig eller vurderet ugunstig for m</w:t>
      </w:r>
      <w:r>
        <w:t>ørkbuget knortegås, troldand, bjergand, ederfugl, hvinand og blishøne pga. reduceret fødegrundlag, tilgroning a</w:t>
      </w:r>
      <w:r w:rsidR="0076554B">
        <w:t>f strandenge og forstyrrelser.</w:t>
      </w:r>
    </w:p>
    <w:p w:rsidR="0076554B" w:rsidRDefault="00A21F73" w:rsidP="0076554B">
      <w:pPr>
        <w:pStyle w:val="Brdtekst"/>
      </w:pPr>
      <w:r>
        <w:t xml:space="preserve">Flere kilder (DOF 2014; Fugleognatur 2014) bekræfter, at flere af arterne på udpegningsgrundlaget findes inden for fem km af vindmøllerne. </w:t>
      </w:r>
      <w:bookmarkStart w:id="16" w:name="_Ref405373432"/>
    </w:p>
    <w:p w:rsidR="00C07DAB" w:rsidRDefault="00B7050E" w:rsidP="00C07DAB">
      <w:pPr>
        <w:pStyle w:val="Overskrift1"/>
      </w:pPr>
      <w:bookmarkStart w:id="17" w:name="_Toc408406237"/>
      <w:r>
        <w:lastRenderedPageBreak/>
        <w:t>Påvirkning</w:t>
      </w:r>
      <w:r w:rsidR="00C07DAB">
        <w:t xml:space="preserve"> af udpegningsgrundlag</w:t>
      </w:r>
      <w:r>
        <w:t>et</w:t>
      </w:r>
      <w:bookmarkEnd w:id="17"/>
    </w:p>
    <w:p w:rsidR="00C07DAB" w:rsidRDefault="00B24446" w:rsidP="00C07DAB">
      <w:pPr>
        <w:pStyle w:val="Brdtekst"/>
      </w:pPr>
      <w:r>
        <w:t>Det vurderes som udgangspunkt, at v</w:t>
      </w:r>
      <w:r w:rsidR="00C07DAB">
        <w:t>indmøller</w:t>
      </w:r>
      <w:r>
        <w:t xml:space="preserve"> kun</w:t>
      </w:r>
      <w:r w:rsidR="00C07DAB">
        <w:t xml:space="preserve"> </w:t>
      </w:r>
      <w:r>
        <w:t xml:space="preserve">vil kunne </w:t>
      </w:r>
      <w:r w:rsidR="00C07DAB">
        <w:t>påvirke flyvende arter</w:t>
      </w:r>
      <w:r>
        <w:t>, da arealtabet</w:t>
      </w:r>
      <w:r w:rsidR="00D159CF">
        <w:t xml:space="preserve"> forbundet med opstillingen</w:t>
      </w:r>
      <w:r>
        <w:t xml:space="preserve"> er ubetydeligt</w:t>
      </w:r>
      <w:r w:rsidR="00C07DAB">
        <w:t xml:space="preserve">. </w:t>
      </w:r>
      <w:r>
        <w:t>Som følge heraf vil væsentlighedsvurderingen kun omfatte</w:t>
      </w:r>
      <w:r w:rsidR="00C07DAB">
        <w:t xml:space="preserve"> fuglene </w:t>
      </w:r>
      <w:r>
        <w:t xml:space="preserve">på udpegningsgrundlaget </w:t>
      </w:r>
      <w:r w:rsidR="00C07DAB">
        <w:t xml:space="preserve">for fuglebeskyttelsesområde F71. </w:t>
      </w:r>
    </w:p>
    <w:p w:rsidR="00972D1C" w:rsidRDefault="00972D1C" w:rsidP="009A7EA8">
      <w:pPr>
        <w:pStyle w:val="Overskrift2"/>
      </w:pPr>
      <w:bookmarkStart w:id="18" w:name="_Toc408406238"/>
      <w:r>
        <w:t>Påvirkninger af fugle</w:t>
      </w:r>
      <w:bookmarkEnd w:id="18"/>
    </w:p>
    <w:p w:rsidR="0039734F" w:rsidRDefault="0039734F" w:rsidP="009A7EA8">
      <w:pPr>
        <w:pStyle w:val="Overskrift3"/>
      </w:pPr>
      <w:r w:rsidRPr="00287E6D">
        <w:t>Kollision</w:t>
      </w:r>
      <w:r w:rsidR="00A16E5E">
        <w:t>srisiko</w:t>
      </w:r>
    </w:p>
    <w:p w:rsidR="007D6968" w:rsidRDefault="007D6968" w:rsidP="009A7EA8">
      <w:pPr>
        <w:pStyle w:val="Brdtekst"/>
      </w:pPr>
      <w:r>
        <w:t>Kollisioner mellem fugle og landbaserede møller sker hyppigst under følgende forhold (Therkildsen et al. 2012):</w:t>
      </w:r>
    </w:p>
    <w:p w:rsidR="007D6968" w:rsidRDefault="007D6968" w:rsidP="009A7EA8">
      <w:pPr>
        <w:pStyle w:val="Opstilling-punkttegn"/>
      </w:pPr>
      <w:r>
        <w:t>I forbindelse med det sæsonbaserede træk, hvor fuglene flytter mellem yngle- og vinterkvarteret,</w:t>
      </w:r>
    </w:p>
    <w:p w:rsidR="007D6968" w:rsidRDefault="007D6968" w:rsidP="009A7EA8">
      <w:pPr>
        <w:pStyle w:val="Opstilling-punkttegn"/>
      </w:pPr>
      <w:r>
        <w:t>I forbindelse med lokale trækbevægelser, fx fødetræk og træk til nattesæde,</w:t>
      </w:r>
    </w:p>
    <w:p w:rsidR="007D6968" w:rsidRDefault="007D6968" w:rsidP="009A7EA8">
      <w:pPr>
        <w:pStyle w:val="Opstilling-punkttegn"/>
      </w:pPr>
      <w:r>
        <w:t>Under forstyrrelser</w:t>
      </w:r>
    </w:p>
    <w:p w:rsidR="007D6968" w:rsidRDefault="007D6968" w:rsidP="009A7EA8">
      <w:pPr>
        <w:pStyle w:val="Opstilling-punkttegn"/>
      </w:pPr>
      <w:r>
        <w:t>Hvis fuglene tiltrækkes af møllerne, samt</w:t>
      </w:r>
    </w:p>
    <w:p w:rsidR="007D6968" w:rsidRPr="007D6968" w:rsidRDefault="007D6968" w:rsidP="009A7EA8">
      <w:pPr>
        <w:pStyle w:val="Opstilling-punkttegn"/>
      </w:pPr>
      <w:r>
        <w:t>Når fugle jagter flyvende bytte.</w:t>
      </w:r>
    </w:p>
    <w:p w:rsidR="007D6968" w:rsidRDefault="007D6968" w:rsidP="0039734F">
      <w:pPr>
        <w:pStyle w:val="Brdtekst"/>
      </w:pPr>
      <w:r>
        <w:t>I sådanne situationer vil f</w:t>
      </w:r>
      <w:r w:rsidR="0039734F">
        <w:t xml:space="preserve">uglenes </w:t>
      </w:r>
      <w:r w:rsidR="00972D1C">
        <w:t>manøvredygtighed</w:t>
      </w:r>
      <w:r w:rsidR="004B70D2">
        <w:t>,</w:t>
      </w:r>
      <w:r w:rsidR="0039734F">
        <w:t xml:space="preserve"> </w:t>
      </w:r>
      <w:r w:rsidR="00972D1C">
        <w:t xml:space="preserve">deres </w:t>
      </w:r>
      <w:r w:rsidR="0039734F">
        <w:t>foretrukne flyverute</w:t>
      </w:r>
      <w:r>
        <w:t>r</w:t>
      </w:r>
      <w:r w:rsidR="0039734F">
        <w:t>, flyvehøjde, flyvetidspunkt og tilpasningsevne</w:t>
      </w:r>
      <w:r>
        <w:t xml:space="preserve"> være </w:t>
      </w:r>
      <w:r w:rsidR="004B70D2">
        <w:t>afgør</w:t>
      </w:r>
      <w:r w:rsidR="009A7EA8">
        <w:t>ende for</w:t>
      </w:r>
      <w:r w:rsidR="004B70D2">
        <w:t xml:space="preserve"> risiko</w:t>
      </w:r>
      <w:r>
        <w:t>en</w:t>
      </w:r>
      <w:r w:rsidR="004B70D2">
        <w:t xml:space="preserve"> for kollision</w:t>
      </w:r>
      <w:r w:rsidR="0039734F">
        <w:t>. </w:t>
      </w:r>
    </w:p>
    <w:p w:rsidR="007D6968" w:rsidRDefault="004B70D2" w:rsidP="0039734F">
      <w:pPr>
        <w:pStyle w:val="Brdtekst"/>
      </w:pPr>
      <w:r>
        <w:t xml:space="preserve">Studier viser at visse fugle er </w:t>
      </w:r>
      <w:r w:rsidR="00F406F2">
        <w:t xml:space="preserve">mere </w:t>
      </w:r>
      <w:r>
        <w:t xml:space="preserve">sårbare over for vindmøller. </w:t>
      </w:r>
      <w:r w:rsidR="007D6968">
        <w:t>Dette gælder især for fugle, der:</w:t>
      </w:r>
    </w:p>
    <w:p w:rsidR="007D6968" w:rsidRDefault="007D6968" w:rsidP="009A7EA8">
      <w:pPr>
        <w:pStyle w:val="Opstilling-punkttegn"/>
      </w:pPr>
      <w:r>
        <w:t>lever i mange år og reproducerer sig langsomt, og dermed mere følsomme overfor yderligere dødelighed,</w:t>
      </w:r>
    </w:p>
    <w:p w:rsidR="007D6968" w:rsidRDefault="007D6968" w:rsidP="009A7EA8">
      <w:pPr>
        <w:pStyle w:val="Opstilling-punkttegn"/>
      </w:pPr>
      <w:r>
        <w:t>er store fugle med begrænset manøvredygtighed, og som</w:t>
      </w:r>
    </w:p>
    <w:p w:rsidR="007D6968" w:rsidRDefault="007D6968" w:rsidP="009A7EA8">
      <w:pPr>
        <w:pStyle w:val="Opstilling-punkttegn"/>
      </w:pPr>
      <w:r>
        <w:lastRenderedPageBreak/>
        <w:t>udfører daglige trækbevægelser i lokalområdet.</w:t>
      </w:r>
    </w:p>
    <w:p w:rsidR="002B4FAD" w:rsidRDefault="002B4FAD" w:rsidP="0039734F">
      <w:pPr>
        <w:pStyle w:val="Brdtekst"/>
      </w:pPr>
      <w:r>
        <w:t>Tyske observationer fra 1989 ti</w:t>
      </w:r>
      <w:r w:rsidR="00B7050E">
        <w:t>l 2010 viser, at antallet af død</w:t>
      </w:r>
      <w:r>
        <w:t>fundne fugle under vindmøller er størst for rov</w:t>
      </w:r>
      <w:r w:rsidR="009A7EA8">
        <w:t>fugle efterfulgt af spurvefugle</w:t>
      </w:r>
      <w:r>
        <w:t>, måger, duer og svaner, ænder og gæs (</w:t>
      </w:r>
      <w:r w:rsidR="00972D1C">
        <w:t>d</w:t>
      </w:r>
      <w:r>
        <w:t xml:space="preserve">ata fra Dürr 2010 i Rydell </w:t>
      </w:r>
      <w:r w:rsidRPr="002B4FAD">
        <w:rPr>
          <w:i/>
        </w:rPr>
        <w:t>et al</w:t>
      </w:r>
      <w:r>
        <w:t xml:space="preserve">., 2011). </w:t>
      </w:r>
    </w:p>
    <w:p w:rsidR="0039734F" w:rsidRDefault="0039734F" w:rsidP="0039734F">
      <w:pPr>
        <w:pStyle w:val="Brdtekst"/>
      </w:pPr>
      <w:r>
        <w:t>Fugle flyver</w:t>
      </w:r>
      <w:r w:rsidR="002B4FAD">
        <w:t xml:space="preserve"> ofte</w:t>
      </w:r>
      <w:r>
        <w:t xml:space="preserve"> målrettet gennem landskabet, </w:t>
      </w:r>
      <w:r w:rsidR="002B4FAD">
        <w:t xml:space="preserve">gerne </w:t>
      </w:r>
      <w:r>
        <w:t xml:space="preserve">langs markante landskabselementer, ikke kun i træktiden, men for mange arter også på dagstræk mellem raste- og fødesøgningsområder. De daglige "småtræk" giver en højere grad af risiko for kollisioner end fuglenes egentlige træk, fordi fuglene kan passere den samme vindmøllepark flere hundrede gange frem for én eller to gange om året. De fleste stationære fuglearter </w:t>
      </w:r>
      <w:r w:rsidR="009B7494">
        <w:t xml:space="preserve">er </w:t>
      </w:r>
      <w:r w:rsidR="00B7050E">
        <w:t xml:space="preserve">dog formentlig </w:t>
      </w:r>
      <w:r>
        <w:t>i stand til at vænne sig til vindmøller</w:t>
      </w:r>
      <w:r w:rsidR="00B7050E">
        <w:t xml:space="preserve"> i større eller mindre udstrækning</w:t>
      </w:r>
      <w:r>
        <w:t>.</w:t>
      </w:r>
    </w:p>
    <w:p w:rsidR="00B7050E" w:rsidRDefault="00C07DAB" w:rsidP="00C07DAB">
      <w:pPr>
        <w:pStyle w:val="Brdtekst"/>
      </w:pPr>
      <w:r>
        <w:t>Den tilgængelige viden omkring fuglenes forekomster</w:t>
      </w:r>
      <w:r w:rsidR="004B70D2">
        <w:t xml:space="preserve"> i området </w:t>
      </w:r>
      <w:r>
        <w:t>er relativ begrænset. Området er ikke besigtiget i forbindelse med udarbejdelsen af denne væsentlighedsvurdering</w:t>
      </w:r>
      <w:r w:rsidR="00B7050E">
        <w:t>, men der er gennemført samtaler med lokalkendte, fuglekyndige personer</w:t>
      </w:r>
      <w:r>
        <w:t xml:space="preserve">. </w:t>
      </w:r>
    </w:p>
    <w:p w:rsidR="00F359DD" w:rsidRDefault="00B7050E" w:rsidP="00C07DAB">
      <w:pPr>
        <w:pStyle w:val="Brdtekst"/>
      </w:pPr>
      <w:r>
        <w:t>Nedenfor er angivet de fuglearter på udpegningsgrundlaget, der potentielt kan være i risiko for konflikter med de planlagte vindmøller. A</w:t>
      </w:r>
      <w:r w:rsidR="00D66B12">
        <w:t>rter</w:t>
      </w:r>
      <w:r>
        <w:t>ne</w:t>
      </w:r>
      <w:r w:rsidR="00D66B12">
        <w:t xml:space="preserve"> kan optræde i området i forbindel</w:t>
      </w:r>
      <w:r w:rsidR="0002598F">
        <w:t>se med fødesøgning, yngleaktiviteter</w:t>
      </w:r>
      <w:r w:rsidR="00D66B12">
        <w:t xml:space="preserve"> og træk</w:t>
      </w:r>
      <w:r>
        <w:t>bevægelser</w:t>
      </w:r>
      <w:r w:rsidR="00D66B12">
        <w:t xml:space="preserve">. </w:t>
      </w:r>
    </w:p>
    <w:p w:rsidR="00C07DAB" w:rsidRDefault="00F359DD" w:rsidP="00C07DAB">
      <w:pPr>
        <w:pStyle w:val="Brdtekst"/>
      </w:pPr>
      <w:r>
        <w:t xml:space="preserve">Selv om mågefugle </w:t>
      </w:r>
      <w:r w:rsidR="00504FFE">
        <w:t>har en relativ høj kollisionsrisiko</w:t>
      </w:r>
      <w:r>
        <w:t xml:space="preserve"> (</w:t>
      </w:r>
      <w:r w:rsidR="00504FFE">
        <w:t>d</w:t>
      </w:r>
      <w:r>
        <w:t xml:space="preserve">ata fra Dürr 2010 i Rydell </w:t>
      </w:r>
      <w:r w:rsidRPr="002B4FAD">
        <w:rPr>
          <w:i/>
        </w:rPr>
        <w:t>et al</w:t>
      </w:r>
      <w:r>
        <w:t>., 2011) er ternene på udpegningsgrundlaget screenet fra</w:t>
      </w:r>
      <w:r w:rsidR="00504FFE">
        <w:t xml:space="preserve"> denne væsentlighedsvurdering</w:t>
      </w:r>
      <w:r>
        <w:t xml:space="preserve">. </w:t>
      </w:r>
      <w:r w:rsidR="00504FFE">
        <w:t>Terner</w:t>
      </w:r>
      <w:r>
        <w:t xml:space="preserve"> flyver oftest langs kysten eller over vandet og forekommer kun sjælden</w:t>
      </w:r>
      <w:r w:rsidR="00B320D1">
        <w:t>t</w:t>
      </w:r>
      <w:r>
        <w:t xml:space="preserve"> over land. Risikoen for kollision med de to landvindmøller vurderes derfor at være yderst begrænset.</w:t>
      </w:r>
    </w:p>
    <w:p w:rsidR="00C9432B" w:rsidRDefault="00C9432B" w:rsidP="00EA7B07">
      <w:pPr>
        <w:pStyle w:val="Overskrift3"/>
      </w:pPr>
      <w:r>
        <w:t>Rovfugle</w:t>
      </w:r>
    </w:p>
    <w:p w:rsidR="00C9432B" w:rsidRPr="00C9432B" w:rsidRDefault="00C9432B" w:rsidP="00EA7B07">
      <w:pPr>
        <w:pStyle w:val="Brdtekst"/>
      </w:pPr>
      <w:r>
        <w:t xml:space="preserve">Ifølge Rydell </w:t>
      </w:r>
      <w:r w:rsidRPr="00D806F5">
        <w:rPr>
          <w:i/>
        </w:rPr>
        <w:t>et al</w:t>
      </w:r>
      <w:r>
        <w:t xml:space="preserve">. (2011) er især rovfugle sårbare over for </w:t>
      </w:r>
      <w:r w:rsidR="00A16E5E">
        <w:t>kollisionsrisikoen</w:t>
      </w:r>
      <w:r>
        <w:t xml:space="preserve">. Grundet </w:t>
      </w:r>
      <w:r w:rsidR="00A16E5E">
        <w:t xml:space="preserve">rovfuglenes </w:t>
      </w:r>
      <w:r>
        <w:t xml:space="preserve">relativ få individer i nærområdet og lave reproduktionsrate </w:t>
      </w:r>
      <w:r w:rsidR="00B320D1">
        <w:t xml:space="preserve">forventes </w:t>
      </w:r>
      <w:r>
        <w:t xml:space="preserve">tab af </w:t>
      </w:r>
      <w:r w:rsidR="00A16E5E">
        <w:t xml:space="preserve">selv </w:t>
      </w:r>
      <w:r>
        <w:t xml:space="preserve">enkelte individer være i strid med </w:t>
      </w:r>
      <w:r>
        <w:softHyphen/>
        <w:t>målet om opnåelse af gunstig bevaringsstatus.</w:t>
      </w:r>
    </w:p>
    <w:p w:rsidR="00C07DAB" w:rsidRDefault="00C07DAB" w:rsidP="00C07DAB">
      <w:pPr>
        <w:pStyle w:val="Overskrift4"/>
      </w:pPr>
      <w:r>
        <w:t>Havørn</w:t>
      </w:r>
    </w:p>
    <w:p w:rsidR="0002598F" w:rsidRDefault="0002598F" w:rsidP="00C07DAB">
      <w:pPr>
        <w:pStyle w:val="Brdtekst"/>
      </w:pPr>
      <w:r>
        <w:t>Havørnen er under spredning som ynglefugl i Danmark, med en samlet ynglebestand i 2013 på mere end 50 par (Pedersen et al. 2014). En væsentlig del af yngleparrene findes omkring de lavvandede hav- og fjordområder i det sydlige Danmark, herunder Det Sydfynske Øhav. I 2013 var der ét ynglepar på Tåsinge, i Hestehaveskoven ved Valdemars Slot, samt adskillige par på Langeland og på den sydligste del af Fyn. I 2014 blev et nyt havørnepar iagttaget på Tåsinge i færd med at anlægge en rede på en lokalitet mindre end 2 km fra projekto</w:t>
      </w:r>
      <w:r w:rsidR="00C0561F">
        <w:t>mrådet.</w:t>
      </w:r>
    </w:p>
    <w:p w:rsidR="00C07DAB" w:rsidRDefault="0002598F" w:rsidP="00C07DAB">
      <w:pPr>
        <w:pStyle w:val="Brdtekst"/>
      </w:pPr>
      <w:r>
        <w:t xml:space="preserve">På grund af de gunstige fødesøgningsbetingelser mange steder i Det Sydfynske Øhav ses havørne regelmæssigt over hele øhavet samt de kystnære dele af landområderne omkring Det Sydfynske Øhav. </w:t>
      </w:r>
      <w:r w:rsidR="00D806F5">
        <w:t>I</w:t>
      </w:r>
      <w:r>
        <w:t xml:space="preserve"> </w:t>
      </w:r>
      <w:r>
        <w:fldChar w:fldCharType="begin"/>
      </w:r>
      <w:r>
        <w:instrText xml:space="preserve"> REF _Ref408402839 \h </w:instrText>
      </w:r>
      <w:r>
        <w:fldChar w:fldCharType="separate"/>
      </w:r>
      <w:r w:rsidR="00DA536A">
        <w:t xml:space="preserve">Figur </w:t>
      </w:r>
      <w:r w:rsidR="00DA536A">
        <w:rPr>
          <w:noProof/>
        </w:rPr>
        <w:t>4</w:t>
      </w:r>
      <w:r w:rsidR="00DA536A">
        <w:noBreakHyphen/>
      </w:r>
      <w:r w:rsidR="00DA536A">
        <w:rPr>
          <w:noProof/>
        </w:rPr>
        <w:t>1</w:t>
      </w:r>
      <w:r>
        <w:fldChar w:fldCharType="end"/>
      </w:r>
      <w:r>
        <w:t xml:space="preserve"> ses et udtræk fra DOF</w:t>
      </w:r>
      <w:r w:rsidR="00C0561F">
        <w:t>b</w:t>
      </w:r>
      <w:r>
        <w:t>asen</w:t>
      </w:r>
      <w:r w:rsidR="00C0561F">
        <w:t xml:space="preserve"> </w:t>
      </w:r>
      <w:r>
        <w:t xml:space="preserve">af observationer af havørn over en femårig periode 2010-2014 omkring Tåsinge </w:t>
      </w:r>
      <w:r>
        <w:lastRenderedPageBreak/>
        <w:t>(</w:t>
      </w:r>
      <w:r w:rsidR="00D806F5">
        <w:t>DOFbasen 2014)</w:t>
      </w:r>
      <w:r w:rsidR="00C0561F">
        <w:t>. Som det fremgår af figuren forekommer havørnen jævnt over hele området, og det oplyses fra lokalkendte fuglekyndige personer, at der regel</w:t>
      </w:r>
      <w:r w:rsidR="009B7494">
        <w:t>m</w:t>
      </w:r>
      <w:r w:rsidR="00C0561F">
        <w:t>æssigt (dagligt) ses havørn i</w:t>
      </w:r>
      <w:r w:rsidR="009B7494">
        <w:t xml:space="preserve"> </w:t>
      </w:r>
      <w:r w:rsidR="00C0561F">
        <w:t>kystområdet på det vestlige Tåsinge</w:t>
      </w:r>
      <w:r w:rsidR="00107DE7">
        <w:t xml:space="preserve">. </w:t>
      </w:r>
    </w:p>
    <w:p w:rsidR="00A16E5E" w:rsidRDefault="00A16E5E" w:rsidP="00C07DAB">
      <w:pPr>
        <w:pStyle w:val="Brdtekst"/>
      </w:pPr>
      <w:r>
        <w:t xml:space="preserve">De observerede havørne </w:t>
      </w:r>
      <w:r w:rsidR="00C0561F">
        <w:t>er primært fugle</w:t>
      </w:r>
      <w:r>
        <w:t xml:space="preserve"> fra yngleparrene inden for det geografiske nærområde</w:t>
      </w:r>
      <w:r w:rsidR="00C0561F">
        <w:t>, men omfatter i en mindre udstrækning</w:t>
      </w:r>
      <w:r>
        <w:t xml:space="preserve"> </w:t>
      </w:r>
      <w:r w:rsidR="00C0561F">
        <w:t xml:space="preserve">også </w:t>
      </w:r>
      <w:r>
        <w:t xml:space="preserve">trækkende og overvintrende fugle fra andre ynglepladser. </w:t>
      </w:r>
    </w:p>
    <w:p w:rsidR="00107DE7" w:rsidRDefault="00107DE7" w:rsidP="00107DE7">
      <w:pPr>
        <w:pStyle w:val="Brdtekst"/>
        <w:keepNext/>
      </w:pPr>
      <w:r>
        <w:rPr>
          <w:noProof/>
        </w:rPr>
        <w:drawing>
          <wp:inline distT="0" distB="0" distL="0" distR="0" wp14:anchorId="5664BD47" wp14:editId="786C30A4">
            <wp:extent cx="4675194" cy="2967272"/>
            <wp:effectExtent l="0" t="0" r="0" b="5080"/>
            <wp:docPr id="21" name="Picture 21" descr="C:\Users\ASTH\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H\Desktop\Capture.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7453" b="9850"/>
                    <a:stretch/>
                  </pic:blipFill>
                  <pic:spPr bwMode="auto">
                    <a:xfrm>
                      <a:off x="0" y="0"/>
                      <a:ext cx="4675505" cy="2967469"/>
                    </a:xfrm>
                    <a:prstGeom prst="rect">
                      <a:avLst/>
                    </a:prstGeom>
                    <a:noFill/>
                    <a:ln>
                      <a:noFill/>
                    </a:ln>
                    <a:extLst>
                      <a:ext uri="{53640926-AAD7-44D8-BBD7-CCE9431645EC}">
                        <a14:shadowObscured xmlns:a14="http://schemas.microsoft.com/office/drawing/2010/main"/>
                      </a:ext>
                    </a:extLst>
                  </pic:spPr>
                </pic:pic>
              </a:graphicData>
            </a:graphic>
          </wp:inline>
        </w:drawing>
      </w:r>
    </w:p>
    <w:p w:rsidR="00107DE7" w:rsidRDefault="00107DE7" w:rsidP="00107DE7">
      <w:pPr>
        <w:pStyle w:val="Billedtekst"/>
      </w:pPr>
      <w:bookmarkStart w:id="19" w:name="_Ref408402839"/>
      <w:r>
        <w:t xml:space="preserve">Figur </w:t>
      </w:r>
      <w:fldSimple w:instr=" STYLEREF 1 \s ">
        <w:r w:rsidR="00DA536A">
          <w:rPr>
            <w:noProof/>
          </w:rPr>
          <w:t>4</w:t>
        </w:r>
      </w:fldSimple>
      <w:r>
        <w:noBreakHyphen/>
      </w:r>
      <w:fldSimple w:instr=" SEQ Figur \* ARABIC \s 1 ">
        <w:r w:rsidR="00DA536A">
          <w:rPr>
            <w:noProof/>
          </w:rPr>
          <w:t>1</w:t>
        </w:r>
      </w:fldSimple>
      <w:bookmarkEnd w:id="19"/>
      <w:r>
        <w:tab/>
        <w:t xml:space="preserve">Oversigt </w:t>
      </w:r>
      <w:r w:rsidR="00A16E5E">
        <w:t>over</w:t>
      </w:r>
      <w:r>
        <w:t xml:space="preserve"> observationer af havørn fra 2010-2014 (DOFbasen 2014)</w:t>
      </w:r>
    </w:p>
    <w:p w:rsidR="00C0561F" w:rsidRDefault="00C0561F" w:rsidP="00C0561F">
      <w:pPr>
        <w:pStyle w:val="BodyTextNoSpace"/>
      </w:pPr>
      <w:r>
        <w:t>Havørnen har lang levealder og bliver først yngledygtig i en alder af 5 år eller mere</w:t>
      </w:r>
      <w:r w:rsidR="00441D3B">
        <w:t xml:space="preserve">, hvorefter den danner par </w:t>
      </w:r>
      <w:r w:rsidR="007F5CCA">
        <w:t>for resten af livet</w:t>
      </w:r>
      <w:r>
        <w:t xml:space="preserve">. </w:t>
      </w:r>
      <w:r w:rsidR="00441D3B">
        <w:t xml:space="preserve">Da den gennemsnitlige ungeproduktion ligger på </w:t>
      </w:r>
      <w:r w:rsidR="007F5CCA">
        <w:t xml:space="preserve">blot </w:t>
      </w:r>
      <w:r w:rsidR="00441D3B">
        <w:t>1 unge per par/år</w:t>
      </w:r>
      <w:r w:rsidR="007F5CCA">
        <w:t xml:space="preserve"> i gennemsnit</w:t>
      </w:r>
      <w:r w:rsidR="00441D3B">
        <w:t xml:space="preserve">, er havørnebestanden meget følsom overfor tab af yngledygtige enkeltindivider. </w:t>
      </w:r>
    </w:p>
    <w:p w:rsidR="00C07DAB" w:rsidRDefault="00C07DAB" w:rsidP="00EA7B07">
      <w:pPr>
        <w:pStyle w:val="Overskrift4"/>
      </w:pPr>
      <w:r>
        <w:t>Rørhøg</w:t>
      </w:r>
    </w:p>
    <w:p w:rsidR="00EA7B07" w:rsidRDefault="00EA7B07" w:rsidP="00EA7B07">
      <w:pPr>
        <w:pStyle w:val="Brdtekst"/>
      </w:pPr>
      <w:r>
        <w:t xml:space="preserve">Fugletællinger af </w:t>
      </w:r>
      <w:r w:rsidRPr="00EA7B07">
        <w:t>Bisschop-Larsen</w:t>
      </w:r>
      <w:r>
        <w:t xml:space="preserve"> (2009) viste </w:t>
      </w:r>
      <w:r w:rsidR="009A7EA8">
        <w:t>p</w:t>
      </w:r>
      <w:r w:rsidR="00A16E5E">
        <w:t xml:space="preserve">å det tidspunkt </w:t>
      </w:r>
      <w:r>
        <w:t>fem ynglende par i det Sydfynske Øhav. Selv om tællingerne er fem år gamle giver de en indikation på bestandens størrelse</w:t>
      </w:r>
      <w:r w:rsidR="00A16E5E">
        <w:t>,</w:t>
      </w:r>
      <w:r>
        <w:t xml:space="preserve"> som har varieret mellem et og fem par fra 1990 til 2009. Det nærmeste ynglende par er på Hjortø som ligger ca. tre km vest for projektområdet.</w:t>
      </w:r>
    </w:p>
    <w:p w:rsidR="002D2EE2" w:rsidRDefault="00EA7B07" w:rsidP="00EA7B07">
      <w:pPr>
        <w:pStyle w:val="Brdtekst"/>
      </w:pPr>
      <w:r>
        <w:t xml:space="preserve">Ifølge DOFbasen (2014) er der adskillige observationer i </w:t>
      </w:r>
      <w:r w:rsidR="00A16E5E">
        <w:t>D</w:t>
      </w:r>
      <w:r>
        <w:t xml:space="preserve">et </w:t>
      </w:r>
      <w:r w:rsidR="00A16E5E">
        <w:t>S</w:t>
      </w:r>
      <w:r>
        <w:t xml:space="preserve">ydfynske Øhav – også på Tåsinge. Fuglene færdes </w:t>
      </w:r>
      <w:r w:rsidR="00A16E5E">
        <w:t>således</w:t>
      </w:r>
      <w:r>
        <w:t xml:space="preserve"> også i projektområdet</w:t>
      </w:r>
      <w:r w:rsidR="00A16E5E">
        <w:t>, der formentlig udgør et udmærket fødesøgningsområde for arten.</w:t>
      </w:r>
      <w:r w:rsidR="00A16E5E" w:rsidDel="00A16E5E">
        <w:t xml:space="preserve"> </w:t>
      </w:r>
    </w:p>
    <w:p w:rsidR="00107DE7" w:rsidRDefault="00107DE7" w:rsidP="00107DE7">
      <w:pPr>
        <w:pStyle w:val="Billedtekst"/>
        <w:rPr>
          <w:noProof/>
        </w:rPr>
      </w:pPr>
      <w:r>
        <w:rPr>
          <w:noProof/>
        </w:rPr>
        <w:lastRenderedPageBreak/>
        <w:drawing>
          <wp:inline distT="0" distB="0" distL="0" distR="0" wp14:anchorId="2A948DB0" wp14:editId="649FC104">
            <wp:extent cx="4675505" cy="2820670"/>
            <wp:effectExtent l="0" t="0" r="0" b="0"/>
            <wp:docPr id="24" name="Picture 24" descr="C:\Users\ASTH\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H\Desktop\Captur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5505" cy="2820670"/>
                    </a:xfrm>
                    <a:prstGeom prst="rect">
                      <a:avLst/>
                    </a:prstGeom>
                    <a:noFill/>
                    <a:ln>
                      <a:noFill/>
                    </a:ln>
                  </pic:spPr>
                </pic:pic>
              </a:graphicData>
            </a:graphic>
          </wp:inline>
        </w:drawing>
      </w:r>
    </w:p>
    <w:p w:rsidR="00107DE7" w:rsidRPr="002D2EE2" w:rsidRDefault="00107DE7" w:rsidP="00107DE7">
      <w:pPr>
        <w:pStyle w:val="Billedtekst"/>
      </w:pPr>
      <w:r>
        <w:t xml:space="preserve">Figur </w:t>
      </w:r>
      <w:fldSimple w:instr=" STYLEREF 1 \s ">
        <w:r w:rsidR="00DA536A">
          <w:rPr>
            <w:noProof/>
          </w:rPr>
          <w:t>4</w:t>
        </w:r>
      </w:fldSimple>
      <w:r>
        <w:noBreakHyphen/>
      </w:r>
      <w:fldSimple w:instr=" SEQ Figur \* ARABIC \s 1 ">
        <w:r w:rsidR="00DA536A">
          <w:rPr>
            <w:noProof/>
          </w:rPr>
          <w:t>2</w:t>
        </w:r>
      </w:fldSimple>
      <w:r>
        <w:tab/>
        <w:t>Oversigt over observationer af rørhøg i perioden 2010-2014 (DOFbasen 2014)</w:t>
      </w:r>
    </w:p>
    <w:p w:rsidR="00C9432B" w:rsidRDefault="00C9432B" w:rsidP="00EA7B07">
      <w:pPr>
        <w:pStyle w:val="Overskrift3"/>
      </w:pPr>
      <w:r>
        <w:t>Svaner og gæs</w:t>
      </w:r>
    </w:p>
    <w:p w:rsidR="00F40F1E" w:rsidRPr="00F40F1E" w:rsidRDefault="00F40F1E" w:rsidP="00F40F1E">
      <w:pPr>
        <w:pStyle w:val="Brdtekst"/>
      </w:pPr>
      <w:r>
        <w:t xml:space="preserve">Ifølge Bisschop-Larsen (2009) udgør området nord for Bredholm, vest for Strynø og syd for Tåsinge et vigtigt område for fældende og rastende svaner både i og efter yngletiden. Her kan der ligge </w:t>
      </w:r>
      <w:r w:rsidR="007F5CCA">
        <w:t xml:space="preserve">2-4000 svaner og helt </w:t>
      </w:r>
      <w:r>
        <w:t xml:space="preserve">op til 8000 svaner. </w:t>
      </w:r>
      <w:r w:rsidR="00054EE6">
        <w:t xml:space="preserve">Denne lokalitet ligger mellem fire til seks km fra projektområdet. Der kan derfor potentielt forekomme </w:t>
      </w:r>
      <w:r w:rsidR="009B7494">
        <w:t xml:space="preserve">et </w:t>
      </w:r>
      <w:r w:rsidR="00054EE6">
        <w:t>større antal svaner i projektområde</w:t>
      </w:r>
      <w:r w:rsidR="009B7494">
        <w:t>t</w:t>
      </w:r>
      <w:r w:rsidR="00054EE6">
        <w:t xml:space="preserve"> i forbindelse med fødesøgning og træk. </w:t>
      </w:r>
    </w:p>
    <w:p w:rsidR="00C07DAB" w:rsidRDefault="00C07DAB" w:rsidP="00C07DAB">
      <w:pPr>
        <w:pStyle w:val="Overskrift4"/>
      </w:pPr>
      <w:r>
        <w:t>Sangsvane</w:t>
      </w:r>
    </w:p>
    <w:p w:rsidR="00F40F1E" w:rsidRDefault="00696573" w:rsidP="00F40F1E">
      <w:pPr>
        <w:pStyle w:val="Brdtekst"/>
      </w:pPr>
      <w:r>
        <w:t xml:space="preserve">Baseret på information fra DCEs regelmæssige midvintertællinger af gæs og svaner i hele Danmark fremgår det, af sangsvanen forekommer talrigt i Det Sydfynske Øhav, og i særdeles i den østlige del af øhavet (se fx Søgaard </w:t>
      </w:r>
      <w:r w:rsidRPr="009A7EA8">
        <w:rPr>
          <w:i/>
        </w:rPr>
        <w:t>et al</w:t>
      </w:r>
      <w:r>
        <w:t>. 2010).</w:t>
      </w:r>
    </w:p>
    <w:p w:rsidR="00C07DAB" w:rsidRDefault="00F40F1E" w:rsidP="00F40F1E">
      <w:pPr>
        <w:pStyle w:val="Brdtekst"/>
      </w:pPr>
      <w:r>
        <w:t xml:space="preserve">Nyere observationer (2010-2014) af sangsvaner viser, at arten forekommer </w:t>
      </w:r>
      <w:r w:rsidR="00696573">
        <w:t>alm</w:t>
      </w:r>
      <w:r w:rsidR="00AE77F9">
        <w:t>i</w:t>
      </w:r>
      <w:r w:rsidR="00696573">
        <w:t>ndelige</w:t>
      </w:r>
      <w:r>
        <w:t xml:space="preserve"> omkring projektområdet (DOFbasen 2014). </w:t>
      </w:r>
    </w:p>
    <w:p w:rsidR="009E64E0" w:rsidRDefault="009E64E0" w:rsidP="00F40F1E">
      <w:pPr>
        <w:pStyle w:val="Brdtekst"/>
      </w:pPr>
      <w:r>
        <w:t>Ifølge Therk</w:t>
      </w:r>
      <w:r w:rsidR="00AE77F9">
        <w:t>i</w:t>
      </w:r>
      <w:r>
        <w:t>l</w:t>
      </w:r>
      <w:r w:rsidR="00AE77F9">
        <w:t>d</w:t>
      </w:r>
      <w:r>
        <w:t xml:space="preserve">sen </w:t>
      </w:r>
      <w:r w:rsidRPr="009E64E0">
        <w:rPr>
          <w:i/>
        </w:rPr>
        <w:t>et al</w:t>
      </w:r>
      <w:r>
        <w:t>. (201</w:t>
      </w:r>
      <w:r w:rsidR="00AE77F9">
        <w:t>2</w:t>
      </w:r>
      <w:r>
        <w:t xml:space="preserve">) flyver sangsvaner </w:t>
      </w:r>
      <w:r w:rsidR="00AE77F9">
        <w:t>hyppigt</w:t>
      </w:r>
      <w:r>
        <w:t xml:space="preserve"> i samme højde som </w:t>
      </w:r>
      <w:r w:rsidR="00AE77F9">
        <w:t xml:space="preserve">vindmøllernes </w:t>
      </w:r>
      <w:r>
        <w:t>rotor</w:t>
      </w:r>
      <w:r w:rsidR="00AE77F9">
        <w:t>højde</w:t>
      </w:r>
      <w:r>
        <w:t xml:space="preserve">, hvorfor der er en risiko for kollision. I samme rapport undersøges påvirkningerne af sangsvaner for syv testvindmøller. Påvirkningen her vurderes ikke at være signifikant for bestanden af sangsvaner. </w:t>
      </w:r>
    </w:p>
    <w:p w:rsidR="00C07DAB" w:rsidRDefault="00C07DAB" w:rsidP="00C07DAB">
      <w:pPr>
        <w:pStyle w:val="Overskrift4"/>
      </w:pPr>
      <w:r>
        <w:t>Knopsvane</w:t>
      </w:r>
    </w:p>
    <w:p w:rsidR="00C07DAB" w:rsidRDefault="00054EE6" w:rsidP="00C07DAB">
      <w:pPr>
        <w:pStyle w:val="Brdtekst"/>
      </w:pPr>
      <w:r>
        <w:t xml:space="preserve">Bestanden af knopsvaner er generelt i svag tilbagegang. I 2009 blev der observeret under 200 ynglende par i Det Sydfynske Øhav (Bisschop-Larsen 2009). Der blev i 2009 observeret ca. ni par inden for tre km fra projektområdet. </w:t>
      </w:r>
    </w:p>
    <w:p w:rsidR="00054EE6" w:rsidRDefault="00054EE6" w:rsidP="00C07DAB">
      <w:pPr>
        <w:pStyle w:val="Brdtekst"/>
      </w:pPr>
      <w:r>
        <w:t>Ifølge</w:t>
      </w:r>
      <w:r w:rsidR="007F5CCA">
        <w:t xml:space="preserve"> DOFbasen (2014) findes der </w:t>
      </w:r>
      <w:r>
        <w:t>observationer (2010-2014) af knopsvaner i stort set hele Det Sydfynske Øhav på land og til vands</w:t>
      </w:r>
      <w:r w:rsidR="00112055">
        <w:t>, og det dokumenteres her, at knopsvanen er talrig i omtrent hele området</w:t>
      </w:r>
      <w:r>
        <w:t>.</w:t>
      </w:r>
      <w:r w:rsidR="00E41E07">
        <w:t xml:space="preserve"> </w:t>
      </w:r>
    </w:p>
    <w:p w:rsidR="00F406F2" w:rsidRDefault="00AE77F9" w:rsidP="00C07DAB">
      <w:pPr>
        <w:pStyle w:val="Brdtekst"/>
      </w:pPr>
      <w:r>
        <w:lastRenderedPageBreak/>
        <w:t xml:space="preserve">Vurderingen </w:t>
      </w:r>
      <w:r w:rsidR="00F406F2">
        <w:t xml:space="preserve">omkring </w:t>
      </w:r>
      <w:r>
        <w:t xml:space="preserve">sangsvanens </w:t>
      </w:r>
      <w:r w:rsidR="00F406F2">
        <w:t>flyvehøjde</w:t>
      </w:r>
      <w:r>
        <w:t xml:space="preserve"> i</w:t>
      </w:r>
      <w:r w:rsidR="00F406F2">
        <w:t xml:space="preserve"> Therk</w:t>
      </w:r>
      <w:r>
        <w:t>i</w:t>
      </w:r>
      <w:r w:rsidR="00F406F2">
        <w:t>l</w:t>
      </w:r>
      <w:r>
        <w:t>d</w:t>
      </w:r>
      <w:r w:rsidR="00F406F2">
        <w:t xml:space="preserve">sen </w:t>
      </w:r>
      <w:r w:rsidR="00F406F2" w:rsidRPr="00F406F2">
        <w:rPr>
          <w:i/>
        </w:rPr>
        <w:t>et al</w:t>
      </w:r>
      <w:r w:rsidR="00F406F2">
        <w:t>. (201</w:t>
      </w:r>
      <w:r>
        <w:t>2</w:t>
      </w:r>
      <w:r w:rsidR="00F406F2">
        <w:t xml:space="preserve">) </w:t>
      </w:r>
      <w:r>
        <w:t xml:space="preserve">vil formentlig også være gældende for </w:t>
      </w:r>
      <w:r w:rsidR="00F406F2">
        <w:t>knopsvane</w:t>
      </w:r>
      <w:r>
        <w:t>n</w:t>
      </w:r>
      <w:r w:rsidR="00F406F2">
        <w:t xml:space="preserve">. </w:t>
      </w:r>
    </w:p>
    <w:p w:rsidR="00C07DAB" w:rsidRDefault="00C07DAB" w:rsidP="00D66B12">
      <w:pPr>
        <w:pStyle w:val="Overskrift4"/>
      </w:pPr>
      <w:r>
        <w:t>Mørkbuget knortegås</w:t>
      </w:r>
    </w:p>
    <w:p w:rsidR="00E41E07" w:rsidRPr="00E41E07" w:rsidRDefault="00AA5013" w:rsidP="00E1657F">
      <w:pPr>
        <w:pStyle w:val="Brdtekst"/>
      </w:pPr>
      <w:r>
        <w:t>Ifølge Petersen (1995) blev der i mellem 1991-1992 registreret relativt store forekomster (500-1000 individer) af mørkbuget knortegæs inden for fem km af projektområdet. Der blev kun observeret knortegæs i den østlige del af Det Sydfynske Øhav. Tallene er</w:t>
      </w:r>
      <w:r w:rsidR="00B320D1">
        <w:t>,</w:t>
      </w:r>
      <w:r>
        <w:t xml:space="preserve"> grundet den ældre datering ikke pålidelige, men giver en indikation af, hvor knortegæssene færdes i området. </w:t>
      </w:r>
    </w:p>
    <w:p w:rsidR="00C07DAB" w:rsidRDefault="00AA5013" w:rsidP="00E1657F">
      <w:pPr>
        <w:pStyle w:val="Brdtekst"/>
      </w:pPr>
      <w:r>
        <w:t xml:space="preserve">Nyere data fra DOFbasen (2014) viser, at der observeret knortegæs spredt ud over Det Sydfynske Øhav, med hyppige forekomster </w:t>
      </w:r>
      <w:r w:rsidR="00112055">
        <w:t xml:space="preserve">især i </w:t>
      </w:r>
      <w:r>
        <w:t>den østlige del. Der er observeret individer inden for 500-1000 meter f</w:t>
      </w:r>
      <w:r w:rsidR="00112055">
        <w:t>ra</w:t>
      </w:r>
      <w:r>
        <w:t xml:space="preserve"> projektområdet. </w:t>
      </w:r>
    </w:p>
    <w:p w:rsidR="00C9432B" w:rsidRDefault="00C9432B" w:rsidP="00E1657F">
      <w:pPr>
        <w:pStyle w:val="Overskrift3"/>
      </w:pPr>
      <w:r>
        <w:t>Andre arter</w:t>
      </w:r>
    </w:p>
    <w:p w:rsidR="00C07DAB" w:rsidRDefault="00C07DAB" w:rsidP="00D66B12">
      <w:pPr>
        <w:pStyle w:val="Overskrift4"/>
      </w:pPr>
      <w:r>
        <w:t>Rørdrum</w:t>
      </w:r>
    </w:p>
    <w:p w:rsidR="004235A7" w:rsidRPr="004235A7" w:rsidRDefault="00B265C5" w:rsidP="0058373A">
      <w:pPr>
        <w:pStyle w:val="Brdtekst"/>
      </w:pPr>
      <w:r>
        <w:t xml:space="preserve">Mellem 2010 og 2014 </w:t>
      </w:r>
      <w:r w:rsidR="0058373A">
        <w:t xml:space="preserve">er </w:t>
      </w:r>
      <w:r>
        <w:t>d</w:t>
      </w:r>
      <w:r w:rsidR="0058373A">
        <w:t>er observeret to individer af rørdrum inden for tre km af projektområdet</w:t>
      </w:r>
      <w:r>
        <w:t xml:space="preserve"> (DOFbasen 2014). </w:t>
      </w:r>
    </w:p>
    <w:p w:rsidR="006B483A" w:rsidRDefault="00C07DAB" w:rsidP="00D66B12">
      <w:pPr>
        <w:pStyle w:val="Overskrift4"/>
      </w:pPr>
      <w:r>
        <w:t>Mosehornugle</w:t>
      </w:r>
    </w:p>
    <w:p w:rsidR="00052818" w:rsidRDefault="006B483A" w:rsidP="0058373A">
      <w:pPr>
        <w:pStyle w:val="Brdtekst"/>
        <w:rPr>
          <w:shd w:val="clear" w:color="auto" w:fill="FFFFFF"/>
        </w:rPr>
      </w:pPr>
      <w:r>
        <w:t>Mo</w:t>
      </w:r>
      <w:r w:rsidR="00F12225">
        <w:t>sehornugle</w:t>
      </w:r>
      <w:r w:rsidR="00ED4707">
        <w:t xml:space="preserve"> er en </w:t>
      </w:r>
      <w:r w:rsidR="00ED4707">
        <w:rPr>
          <w:shd w:val="clear" w:color="auto" w:fill="FFFFFF"/>
        </w:rPr>
        <w:t xml:space="preserve">meget sjælden, spredt forekommende ynglefugl på strandenge, hedemoser, i ådale og på mindre øer. </w:t>
      </w:r>
      <w:r w:rsidR="00112055">
        <w:rPr>
          <w:shd w:val="clear" w:color="auto" w:fill="FFFFFF"/>
        </w:rPr>
        <w:t xml:space="preserve">I vinterhalvåret og træktiderne forekommer arten hyppigere på egnede lokaliteter. </w:t>
      </w:r>
      <w:r w:rsidR="00ED4707">
        <w:rPr>
          <w:shd w:val="clear" w:color="auto" w:fill="FFFFFF"/>
        </w:rPr>
        <w:t>Den er blevet observeret seks gange inden for fire km af projektområdet (DOFbasen 2014).</w:t>
      </w:r>
      <w:r w:rsidR="00112055">
        <w:rPr>
          <w:shd w:val="clear" w:color="auto" w:fill="FFFFFF"/>
        </w:rPr>
        <w:t xml:space="preserve"> </w:t>
      </w:r>
      <w:r w:rsidR="00ED4707">
        <w:rPr>
          <w:shd w:val="clear" w:color="auto" w:fill="FFFFFF"/>
        </w:rPr>
        <w:t>Grundet forekomster af både mose, strandeng og mindre øer nær projektområdet vil arten potentielt kunne forekomme</w:t>
      </w:r>
      <w:r w:rsidR="00112055">
        <w:rPr>
          <w:shd w:val="clear" w:color="auto" w:fill="FFFFFF"/>
        </w:rPr>
        <w:t xml:space="preserve"> regelmæssigt i projektområdet</w:t>
      </w:r>
      <w:r w:rsidR="00ED4707">
        <w:rPr>
          <w:shd w:val="clear" w:color="auto" w:fill="FFFFFF"/>
        </w:rPr>
        <w:t>.</w:t>
      </w:r>
    </w:p>
    <w:p w:rsidR="00052818" w:rsidRDefault="00052818" w:rsidP="000E2729">
      <w:pPr>
        <w:pStyle w:val="Overskrift2"/>
        <w:rPr>
          <w:shd w:val="clear" w:color="auto" w:fill="FFFFFF"/>
        </w:rPr>
      </w:pPr>
      <w:bookmarkStart w:id="20" w:name="_Toc408406239"/>
      <w:r>
        <w:rPr>
          <w:shd w:val="clear" w:color="auto" w:fill="FFFFFF"/>
        </w:rPr>
        <w:t>Bilag IV-arter</w:t>
      </w:r>
      <w:bookmarkEnd w:id="20"/>
    </w:p>
    <w:p w:rsidR="0001054D" w:rsidRDefault="0001054D" w:rsidP="0001054D">
      <w:pPr>
        <w:pStyle w:val="Brdtekst"/>
      </w:pPr>
      <w:r>
        <w:t>Habitatdirektivets</w:t>
      </w:r>
      <w:r>
        <w:rPr>
          <w:rStyle w:val="Fodnotehenvisning"/>
        </w:rPr>
        <w:footnoteReference w:id="4"/>
      </w:r>
      <w:r>
        <w:t xml:space="preserve"> bilag IV indeholder en særlig beskyttelse af en række arter. Beskyttelsen er implementeret i naturbeskyttelseslovens</w:t>
      </w:r>
      <w:r>
        <w:rPr>
          <w:rStyle w:val="Fodnotehenvisning"/>
        </w:rPr>
        <w:footnoteReference w:id="5"/>
      </w:r>
      <w:r>
        <w:t xml:space="preserve"> § 29 a. For arterne nævnt på habitatdirektivets bilag IV, de såkaldte bilag VI-arter, gælder det</w:t>
      </w:r>
      <w:r>
        <w:rPr>
          <w:rStyle w:val="Fodnotehenvisning"/>
        </w:rPr>
        <w:footnoteReference w:id="6"/>
      </w:r>
      <w:r>
        <w:t>:</w:t>
      </w:r>
    </w:p>
    <w:p w:rsidR="0001054D" w:rsidRPr="00F00C44" w:rsidRDefault="0001054D" w:rsidP="0001054D">
      <w:pPr>
        <w:pStyle w:val="Brdtekst"/>
      </w:pPr>
      <w:r w:rsidRPr="00F00C44">
        <w:t>- at de ikke må forsætligt forstyrres med skadelig virkning for arten eller bestanden. Forbuddet gælder i forhold til alle livsstadier af de omfattede dyrearter.</w:t>
      </w:r>
    </w:p>
    <w:p w:rsidR="0001054D" w:rsidRDefault="0001054D" w:rsidP="0001054D">
      <w:pPr>
        <w:pStyle w:val="Brdtekst"/>
      </w:pPr>
      <w:r>
        <w:t xml:space="preserve">Forstyrrelser kan f.eks. omfatte visuelle forstyrrelser, støj, rystelser og lignende. De behøver ikke have direkte effekt på enkeltindivider af den beskyttede art, men kan evt. have en indirekte effekt ved for eksempel at tvinge den til at bruge energi på </w:t>
      </w:r>
      <w:r>
        <w:lastRenderedPageBreak/>
        <w:t>flugt. Sårbarheden over forskellige former for forstyrrelser varier</w:t>
      </w:r>
      <w:r w:rsidR="00C86277">
        <w:t>er</w:t>
      </w:r>
      <w:r>
        <w:t xml:space="preserve"> fra art til art og over året. Der skal lægges særlig vægt på de forstyrrelser, der rammer arterne i deres mest følsomme perioder (yngletid, på overvintringspladser m.v.). </w:t>
      </w:r>
    </w:p>
    <w:p w:rsidR="0001054D" w:rsidRDefault="0001054D" w:rsidP="0001054D">
      <w:pPr>
        <w:pStyle w:val="Brdtekst"/>
      </w:pPr>
      <w:r>
        <w:t xml:space="preserve">Forbuddet </w:t>
      </w:r>
      <w:r w:rsidR="003E6C8C">
        <w:t xml:space="preserve">efter habitatdirektivet </w:t>
      </w:r>
      <w:r>
        <w:t xml:space="preserve">omfatter alene forsætlige forstyrrelser med skadelig virkning for arten eller bestanden. Hvis forstyrrelsen medfører en indskrænkning af artens eller bestandens udbredelsesområde, vil det som altovervejende hovedregel være en overtrædelse af forbuddet. </w:t>
      </w:r>
    </w:p>
    <w:p w:rsidR="0001054D" w:rsidRDefault="003E6C8C" w:rsidP="0001054D">
      <w:pPr>
        <w:pStyle w:val="Brdtekst"/>
      </w:pPr>
      <w:r>
        <w:t xml:space="preserve">Det gælder endvidere, </w:t>
      </w:r>
      <w:r w:rsidR="0001054D">
        <w:t>at y</w:t>
      </w:r>
      <w:r w:rsidR="0001054D" w:rsidRPr="0027462C">
        <w:t xml:space="preserve">ngle- eller rasteområder ikke </w:t>
      </w:r>
      <w:r w:rsidR="0001054D">
        <w:t xml:space="preserve">må </w:t>
      </w:r>
      <w:r w:rsidR="0001054D" w:rsidRPr="0027462C">
        <w:t>beskadiges eller ødelægges.</w:t>
      </w:r>
      <w:r>
        <w:t xml:space="preserve"> </w:t>
      </w:r>
      <w:r w:rsidR="0001054D">
        <w:t xml:space="preserve">Et yngle- eller rasteområde forstås som en samling af lokaliteter, hvor en bestand af en art yngler eller raster, og ikke som hver enkelt lokalitet eller forekomst, medmindre der ikke er økologisk sammenhæng med andre lokaliteter eller forekomster. </w:t>
      </w:r>
    </w:p>
    <w:p w:rsidR="0001054D" w:rsidRDefault="0001054D" w:rsidP="0001054D">
      <w:pPr>
        <w:pStyle w:val="Brdtekst"/>
      </w:pPr>
      <w:r>
        <w:t xml:space="preserve">Ved at opretholde den samlede økologiske funktionalitet i et område for en bestand af en art, anses </w:t>
      </w:r>
      <w:r w:rsidR="00C86277">
        <w:t xml:space="preserve">lovgivningens </w:t>
      </w:r>
      <w:r>
        <w:t>krav</w:t>
      </w:r>
      <w:r w:rsidR="00C86277">
        <w:t xml:space="preserve"> </w:t>
      </w:r>
      <w:r>
        <w:t>for opfyldt.</w:t>
      </w:r>
    </w:p>
    <w:p w:rsidR="0001054D" w:rsidRDefault="0001054D" w:rsidP="0001054D">
      <w:pPr>
        <w:pStyle w:val="Brdtekst"/>
      </w:pPr>
      <w:r>
        <w:t xml:space="preserve">Forbuddet omfatter enhver beskadigelse eller ødelæggelse. Forbuddet supplerer de gældende regler ved at forbyde ødelæggelse og beskadigelse af yngle- og rasteområder, som ikke i forvejen er beskyttede. Forbuddet gælder ikke hele artens levested, men alene yngle- eller rasteområder. Fourageringsområder og vandringsveje, der ikke samtidig er yngle- eller rasteområder, er således ikke omfattet af forbuddet. </w:t>
      </w:r>
    </w:p>
    <w:p w:rsidR="00052818" w:rsidRDefault="0001054D" w:rsidP="0001054D">
      <w:pPr>
        <w:pStyle w:val="Brdtekst"/>
      </w:pPr>
      <w:r>
        <w:t>Områderne skal være nødvendige for bestandene af de pågældende arter, hvilket betyder, at de vurderes at have betydning for opretholdelsen af den yngle – eller rastebestand, hvis yngle- eller rasteområde berøres af en given aktivitet. Forbuddet kan således betragtes som overholdt, hvis yngle- eller rasteområder og bestande opretholdes på samme niveau som hidtil, og den økologiske funktionalitet af områderne opretholdes.</w:t>
      </w:r>
    </w:p>
    <w:p w:rsidR="00876007" w:rsidRDefault="00BC3F06" w:rsidP="00BC3F06">
      <w:pPr>
        <w:pStyle w:val="Overskrift4"/>
      </w:pPr>
      <w:r>
        <w:t>Flagermus</w:t>
      </w:r>
    </w:p>
    <w:p w:rsidR="00BC3F06" w:rsidRDefault="003E6C8C" w:rsidP="00BC3F06">
      <w:pPr>
        <w:pStyle w:val="Brdtekst"/>
      </w:pPr>
      <w:r>
        <w:t>Ifølge Sø</w:t>
      </w:r>
      <w:r w:rsidR="00BC3F06">
        <w:t xml:space="preserve">gard &amp; Asferg (2007) findes der sydflagermus i projektområdet. Læhegnet </w:t>
      </w:r>
      <w:r>
        <w:t>og bevoksningerne i projektområdet vil formentlig fungere som levesteder og ledelinjer for flagermus</w:t>
      </w:r>
      <w:r w:rsidR="00BC3F06">
        <w:t xml:space="preserve">. </w:t>
      </w:r>
    </w:p>
    <w:p w:rsidR="00BC3F06" w:rsidRDefault="00A2592C" w:rsidP="00BC3F06">
      <w:pPr>
        <w:pStyle w:val="Brdtekst"/>
      </w:pPr>
      <w:r>
        <w:t xml:space="preserve">Ifølge Nygaard </w:t>
      </w:r>
      <w:r w:rsidRPr="00A2592C">
        <w:rPr>
          <w:i/>
        </w:rPr>
        <w:t>et al</w:t>
      </w:r>
      <w:r w:rsidR="003E6C8C">
        <w:t xml:space="preserve">. (2014) er </w:t>
      </w:r>
      <w:r>
        <w:t>mortalitet</w:t>
      </w:r>
      <w:r w:rsidR="003E6C8C">
        <w:t>en</w:t>
      </w:r>
      <w:r>
        <w:t xml:space="preserve"> af flagermus ved vindmøller højest</w:t>
      </w:r>
      <w:r w:rsidR="003E6C8C">
        <w:t xml:space="preserve"> i</w:t>
      </w:r>
      <w:r>
        <w:t xml:space="preserve"> områder</w:t>
      </w:r>
      <w:r w:rsidR="003E6C8C">
        <w:t>,</w:t>
      </w:r>
      <w:r>
        <w:t xml:space="preserve"> som fungerer som vigtige pendler- og trækruter. Flagermus kan desuden anvende møllerne til fødesøgning</w:t>
      </w:r>
      <w:r w:rsidR="003E6C8C">
        <w:t>,</w:t>
      </w:r>
      <w:r>
        <w:t xml:space="preserve"> da der kan samle sig større mængder af insekter langs vingerne. Flagermusene kan dog ikke altid lokalisere vingerne i god nok tid, hvorfor de kan rammes.</w:t>
      </w:r>
      <w:r w:rsidR="003A1EA4">
        <w:t xml:space="preserve"> Antallet af dræbte flagermus stiger generelt med stigende højde af vindmøllerne og stigende rotordiameter (Nygaard </w:t>
      </w:r>
      <w:r w:rsidR="003A1EA4" w:rsidRPr="003A1EA4">
        <w:rPr>
          <w:i/>
        </w:rPr>
        <w:t>et al</w:t>
      </w:r>
      <w:r w:rsidR="003A1EA4">
        <w:t>. 2014)</w:t>
      </w:r>
      <w:r>
        <w:t xml:space="preserve">. </w:t>
      </w:r>
    </w:p>
    <w:p w:rsidR="003A1EA4" w:rsidRDefault="003A1EA4" w:rsidP="00BC3F06">
      <w:pPr>
        <w:pStyle w:val="Brdtekst"/>
      </w:pPr>
      <w:r>
        <w:t xml:space="preserve">Det må ud fra ovenstående antages, at placeringen af især den nordlige af de to vindmøller kan medføre dræbte flagermus. Denne vindmølle ligger umiddelbart op af det der forekommer som en vigtig ledelinje mellem tre biotoper. </w:t>
      </w:r>
      <w:r w:rsidR="00F1176D">
        <w:t>Placering af denne vindmølle netop her kan derfor ikke udelukkes at have en negativ indvirk</w:t>
      </w:r>
      <w:r w:rsidR="00F1176D">
        <w:lastRenderedPageBreak/>
        <w:t xml:space="preserve">ning på individer af sydflagermus. For at undgå denne indvirkning kan en alternativ placering af vindmøllen overvejes. </w:t>
      </w:r>
    </w:p>
    <w:p w:rsidR="00BC3F06" w:rsidRDefault="00BC3F06" w:rsidP="00BC3F06">
      <w:pPr>
        <w:pStyle w:val="Overskrift4"/>
      </w:pPr>
      <w:r>
        <w:t>Padder</w:t>
      </w:r>
    </w:p>
    <w:p w:rsidR="00BC3F06" w:rsidRDefault="00F1176D" w:rsidP="00BC3F06">
      <w:pPr>
        <w:pStyle w:val="Brdtekst"/>
      </w:pPr>
      <w:r>
        <w:t xml:space="preserve">Omkring projektområdet findes der </w:t>
      </w:r>
      <w:r w:rsidR="00A93DCC">
        <w:t>ifølg</w:t>
      </w:r>
      <w:r w:rsidR="003E6C8C">
        <w:t>e Sø</w:t>
      </w:r>
      <w:r w:rsidR="00A93DCC">
        <w:t xml:space="preserve">gard &amp; Asferg </w:t>
      </w:r>
      <w:r w:rsidR="003E6C8C">
        <w:t>(</w:t>
      </w:r>
      <w:r w:rsidR="00A93DCC">
        <w:t xml:space="preserve">2007) </w:t>
      </w:r>
      <w:r>
        <w:t>potentielt fem paddearter;</w:t>
      </w:r>
    </w:p>
    <w:p w:rsidR="00F1176D" w:rsidRDefault="00F1176D" w:rsidP="00F1176D">
      <w:pPr>
        <w:pStyle w:val="ListBulletNoSpace"/>
      </w:pPr>
      <w:r>
        <w:t>Klokkefrø</w:t>
      </w:r>
    </w:p>
    <w:p w:rsidR="00F1176D" w:rsidRDefault="00F1176D" w:rsidP="00F1176D">
      <w:pPr>
        <w:pStyle w:val="ListBulletNoSpace"/>
      </w:pPr>
      <w:r>
        <w:t>Stor vandsalamander</w:t>
      </w:r>
    </w:p>
    <w:p w:rsidR="00F1176D" w:rsidRDefault="00F1176D" w:rsidP="00F1176D">
      <w:pPr>
        <w:pStyle w:val="ListBulletNoSpace"/>
      </w:pPr>
      <w:r>
        <w:t>Spidssnudet frø</w:t>
      </w:r>
    </w:p>
    <w:p w:rsidR="00F1176D" w:rsidRDefault="00F1176D" w:rsidP="00F1176D">
      <w:pPr>
        <w:pStyle w:val="ListBulletNoSpace"/>
      </w:pPr>
      <w:r>
        <w:t>Springfrø</w:t>
      </w:r>
    </w:p>
    <w:p w:rsidR="00F1176D" w:rsidRDefault="00F1176D" w:rsidP="00F1176D">
      <w:pPr>
        <w:pStyle w:val="ListBulletNoSpace"/>
      </w:pPr>
      <w:r>
        <w:t>Strandtudse</w:t>
      </w:r>
    </w:p>
    <w:p w:rsidR="00F1176D" w:rsidRDefault="00F1176D" w:rsidP="00BC3F06">
      <w:pPr>
        <w:pStyle w:val="Brdtekst"/>
      </w:pPr>
    </w:p>
    <w:p w:rsidR="00F1176D" w:rsidRDefault="00F1176D" w:rsidP="00BC3F06">
      <w:pPr>
        <w:pStyle w:val="Brdtekst"/>
      </w:pPr>
      <w:r>
        <w:t xml:space="preserve">Da projektet ikke forudsætter sløjfning eller inddragelse af arealer andet end det fra de eksisterende vindmøller vurderes padderne ikke at blive påvirket. Støj, skyggekast eller anden afledt effekt fra vindmøllerne vurderes ligeledes ikke at være problematisk, da vindmøllerne ikke vil påvirke potentielle levesteder for padder. </w:t>
      </w:r>
    </w:p>
    <w:p w:rsidR="00A93DCC" w:rsidRDefault="00BC3F06" w:rsidP="00A93DCC">
      <w:pPr>
        <w:pStyle w:val="Overskrift4"/>
      </w:pPr>
      <w:r>
        <w:t>Markfirben</w:t>
      </w:r>
    </w:p>
    <w:p w:rsidR="00A93DCC" w:rsidRPr="00A93DCC" w:rsidRDefault="00A93DCC" w:rsidP="00A93DCC">
      <w:pPr>
        <w:pStyle w:val="Brdtekst"/>
      </w:pPr>
      <w:r>
        <w:t xml:space="preserve">Markfirben findes potentielt i projektområdet (Søgard &amp; Asferg 2007). Det er vanskeligt at bedømme, om der findes markfirben omkring projektområdet uden en </w:t>
      </w:r>
      <w:r w:rsidR="00D909F6">
        <w:t xml:space="preserve">egentlig </w:t>
      </w:r>
      <w:r>
        <w:t xml:space="preserve">besigtigelse. Møllernes tilstedeværelse vurderes dog ikke at have indvirkning på arten da etableringen af vindmøllerne ikke forudsætter inddragelse af nyt areal. </w:t>
      </w:r>
    </w:p>
    <w:p w:rsidR="00B64787" w:rsidRPr="00A93DCC" w:rsidRDefault="00B64787" w:rsidP="00A93DCC">
      <w:pPr>
        <w:pStyle w:val="Brdtekst"/>
        <w:rPr>
          <w:sz w:val="24"/>
        </w:rPr>
      </w:pPr>
      <w:r>
        <w:br w:type="page"/>
      </w:r>
    </w:p>
    <w:p w:rsidR="00473AE2" w:rsidRDefault="007E06BF" w:rsidP="00473AE2">
      <w:pPr>
        <w:pStyle w:val="Overskrift1"/>
        <w:pageBreakBefore w:val="0"/>
        <w:spacing w:before="500" w:line="320" w:lineRule="atLeast"/>
      </w:pPr>
      <w:bookmarkStart w:id="21" w:name="_Toc405996190"/>
      <w:bookmarkStart w:id="22" w:name="_Toc406049851"/>
      <w:bookmarkStart w:id="23" w:name="_Toc408406240"/>
      <w:bookmarkEnd w:id="16"/>
      <w:bookmarkEnd w:id="21"/>
      <w:bookmarkEnd w:id="22"/>
      <w:r>
        <w:lastRenderedPageBreak/>
        <w:t>Konsekvensvurdering</w:t>
      </w:r>
      <w:bookmarkEnd w:id="23"/>
    </w:p>
    <w:p w:rsidR="007E06BF" w:rsidRPr="007E06BF" w:rsidRDefault="007E06BF" w:rsidP="007E06BF">
      <w:pPr>
        <w:pStyle w:val="Overskrift2"/>
      </w:pPr>
      <w:bookmarkStart w:id="24" w:name="_Toc408406241"/>
      <w:r>
        <w:t>Vurdering af påvirkning på Natura 2000 området</w:t>
      </w:r>
      <w:bookmarkEnd w:id="24"/>
    </w:p>
    <w:p w:rsidR="00CD3EA2" w:rsidRPr="00F06EF6" w:rsidRDefault="00846E01" w:rsidP="00CD3EA2">
      <w:pPr>
        <w:pStyle w:val="Brdtekst"/>
      </w:pPr>
      <w:r>
        <w:t xml:space="preserve">I </w:t>
      </w:r>
      <w:r w:rsidR="008E492F">
        <w:t xml:space="preserve">naturplanen for området </w:t>
      </w:r>
      <w:r w:rsidR="00CD3EA2">
        <w:t>beskrives</w:t>
      </w:r>
      <w:r>
        <w:t xml:space="preserve"> </w:t>
      </w:r>
      <w:r w:rsidR="00CD3EA2">
        <w:t xml:space="preserve">målsætningen for </w:t>
      </w:r>
      <w:r>
        <w:t xml:space="preserve">Natura 2000-områderne: </w:t>
      </w:r>
      <w:r w:rsidR="00CD3EA2" w:rsidRPr="00F06EF6">
        <w:rPr>
          <w:i/>
        </w:rPr>
        <w:t>Det overordnede mål er at sikre eller genoprette gunstig bevaringsstatus for de naturtyper og arter, der udgør udpegningsgrundlaget i de enkelte Natura 2000-områder</w:t>
      </w:r>
      <w:r w:rsidR="00F406F2">
        <w:rPr>
          <w:i/>
        </w:rPr>
        <w:t xml:space="preserve"> </w:t>
      </w:r>
      <w:r w:rsidR="00F406F2">
        <w:t>(Naturstyrelsen 2010)</w:t>
      </w:r>
      <w:r w:rsidR="00CD3EA2" w:rsidRPr="00F06EF6">
        <w:rPr>
          <w:i/>
        </w:rPr>
        <w:t>.</w:t>
      </w:r>
    </w:p>
    <w:p w:rsidR="003D16AA" w:rsidRDefault="003D16AA" w:rsidP="00D763BB">
      <w:pPr>
        <w:pStyle w:val="Brdtekst"/>
      </w:pPr>
      <w:r>
        <w:t xml:space="preserve">Vindmøllerne vurderes ikke at kunne medføre påvirkning af naturtyper eller </w:t>
      </w:r>
      <w:r w:rsidR="00546AF3">
        <w:t xml:space="preserve">ikke-flyvende </w:t>
      </w:r>
      <w:r>
        <w:t xml:space="preserve">arter. Derfor vurderes habitatområde </w:t>
      </w:r>
      <w:r w:rsidR="00546AF3">
        <w:t>H</w:t>
      </w:r>
      <w:r>
        <w:t>111 ikke at kunne blive påvirket</w:t>
      </w:r>
      <w:r w:rsidR="00C86277">
        <w:t xml:space="preserve"> væsentligt </w:t>
      </w:r>
      <w:r w:rsidR="00546AF3">
        <w:t>af vindmøllerne</w:t>
      </w:r>
      <w:r>
        <w:t xml:space="preserve">. </w:t>
      </w:r>
    </w:p>
    <w:p w:rsidR="00D763BB" w:rsidRDefault="00546AF3" w:rsidP="00D763BB">
      <w:pPr>
        <w:pStyle w:val="Brdtekst"/>
      </w:pPr>
      <w:r>
        <w:t>Vindmøllernes</w:t>
      </w:r>
      <w:r w:rsidR="00846E01">
        <w:t xml:space="preserve"> væsentligste påvirkning </w:t>
      </w:r>
      <w:r>
        <w:t xml:space="preserve">vil være </w:t>
      </w:r>
      <w:r w:rsidR="00B320D1">
        <w:t xml:space="preserve">forøgelsen af </w:t>
      </w:r>
      <w:r>
        <w:t>risiko</w:t>
      </w:r>
      <w:r w:rsidR="00B320D1">
        <w:t>en</w:t>
      </w:r>
      <w:r>
        <w:t xml:space="preserve"> for </w:t>
      </w:r>
      <w:r w:rsidR="00B320D1">
        <w:t>at fugle kolliderer med møllerne</w:t>
      </w:r>
      <w:r w:rsidR="003750B5">
        <w:t xml:space="preserve">. Dette kan ske hvis </w:t>
      </w:r>
      <w:r>
        <w:t>fuglene</w:t>
      </w:r>
      <w:r w:rsidR="003750B5">
        <w:t xml:space="preserve"> bruger eller passerer området i forbindelse med fødesøgning, træk og yngle</w:t>
      </w:r>
      <w:r>
        <w:t>aktiviteter</w:t>
      </w:r>
      <w:r w:rsidR="00846E01">
        <w:t>.</w:t>
      </w:r>
      <w:r w:rsidR="003750B5">
        <w:t xml:space="preserve"> Desuden kan støj fra vindmøller have </w:t>
      </w:r>
      <w:r w:rsidR="00B320D1">
        <w:t xml:space="preserve">en forstyrrende </w:t>
      </w:r>
      <w:r w:rsidR="003750B5">
        <w:t>indvirkning på visse arter. Selv om vindmøllerne vil være underlagt Miljøstyrelsens gældende støjgrænser jf. Miljøstyrelsens vejledning nr. 1, 2012 om støj fra vindmøller, er der ikke fastsat støjgrænser omkring naturområder og internationale beskyttelsesområder.</w:t>
      </w:r>
      <w:r w:rsidR="00112055">
        <w:t xml:space="preserve"> Det formodes ikke, at støj fra vindmøllerne vil medføre en væsentlig påvirkning af fuglene på udpegningsgrundlaget.</w:t>
      </w:r>
      <w:r w:rsidR="00846E01">
        <w:t xml:space="preserve"> </w:t>
      </w:r>
    </w:p>
    <w:p w:rsidR="00546AF3" w:rsidRDefault="00485FCB" w:rsidP="00546AF3">
      <w:pPr>
        <w:pStyle w:val="Brdtekst"/>
      </w:pPr>
      <w:r>
        <w:t>Påvirkningen af fugle på udpegningsgrundlaget af fuglebeskyttelsesområde F71 vil afhænge af flere faktorer</w:t>
      </w:r>
      <w:r w:rsidR="00546AF3">
        <w:t xml:space="preserve">, der </w:t>
      </w:r>
      <w:r w:rsidR="00B320D1">
        <w:t xml:space="preserve">vil være knyttet til </w:t>
      </w:r>
      <w:r w:rsidR="00546AF3">
        <w:t>den enkelte fugleart og dennes adfærd og arealbehov</w:t>
      </w:r>
      <w:r>
        <w:t xml:space="preserve">. </w:t>
      </w:r>
      <w:r w:rsidR="00546AF3">
        <w:t>Vejrforholdene vil påvirke kollisionsrisikoen, idet tåget vejr og meget blæsende vejr vil minds</w:t>
      </w:r>
      <w:r w:rsidR="00527D41">
        <w:t>k</w:t>
      </w:r>
      <w:r w:rsidR="00546AF3">
        <w:t>e fuglenes manøvredygtighed</w:t>
      </w:r>
      <w:r w:rsidR="00112055">
        <w:t xml:space="preserve"> og deres evne til i tide at reagere på møllerne tilstedeværelse</w:t>
      </w:r>
      <w:r w:rsidR="00546AF3">
        <w:t>.</w:t>
      </w:r>
    </w:p>
    <w:p w:rsidR="003D16AA" w:rsidRDefault="00546AF3" w:rsidP="0076554B">
      <w:pPr>
        <w:pStyle w:val="Brdtekst"/>
      </w:pPr>
      <w:r>
        <w:t xml:space="preserve">Det forventes ikke, at </w:t>
      </w:r>
      <w:r w:rsidR="00112055">
        <w:t xml:space="preserve">de </w:t>
      </w:r>
      <w:r>
        <w:t xml:space="preserve">to vindmøller vil medføre en barriereeffekt, som det opleves ved vindmølleparker. </w:t>
      </w:r>
      <w:r w:rsidR="009E5076">
        <w:t>Der er ikke andre vindmøller i nærheden</w:t>
      </w:r>
      <w:r w:rsidR="00112055">
        <w:t>,</w:t>
      </w:r>
      <w:r w:rsidR="009E5076">
        <w:t xml:space="preserve"> der </w:t>
      </w:r>
      <w:r w:rsidR="00B320D1">
        <w:t xml:space="preserve">sammen med etableringen af møllerne </w:t>
      </w:r>
      <w:r w:rsidR="009E5076">
        <w:t xml:space="preserve">vil kunne </w:t>
      </w:r>
      <w:r w:rsidR="00B320D1">
        <w:t xml:space="preserve">udgøre </w:t>
      </w:r>
      <w:r w:rsidR="009E5076">
        <w:t>kumulative barrierevirkninger</w:t>
      </w:r>
      <w:r w:rsidR="00B320D1">
        <w:t>.</w:t>
      </w:r>
      <w:r w:rsidR="009E5076">
        <w:t xml:space="preserve"> </w:t>
      </w:r>
    </w:p>
    <w:p w:rsidR="003E6C8C" w:rsidRDefault="00B81792" w:rsidP="00485FCB">
      <w:pPr>
        <w:pStyle w:val="Brdtekst"/>
      </w:pPr>
      <w:r>
        <w:t xml:space="preserve">Der er registreret observationer af de fleste af arterne </w:t>
      </w:r>
      <w:r w:rsidR="00AA17C0">
        <w:t xml:space="preserve">på udpegningsgrundlaget </w:t>
      </w:r>
      <w:r>
        <w:t xml:space="preserve">inden for relativ nærhed af projektområdet. Yderligere er det blevet belyst at især rovfugle hyppigere </w:t>
      </w:r>
      <w:r w:rsidR="00112055">
        <w:t>kolliderer med</w:t>
      </w:r>
      <w:r>
        <w:t xml:space="preserve"> vindmøller end andre fugle. Både havørn og rørhøg indgår på udpegningsgrundlaget og forekommer </w:t>
      </w:r>
      <w:r w:rsidR="003E6C8C">
        <w:t xml:space="preserve">regelmæssigt </w:t>
      </w:r>
      <w:r>
        <w:t xml:space="preserve">i området. Dette medfører en risiko for </w:t>
      </w:r>
      <w:r w:rsidR="003E6C8C">
        <w:t xml:space="preserve">tab </w:t>
      </w:r>
      <w:r>
        <w:t>af enkelte individer</w:t>
      </w:r>
      <w:r w:rsidR="003E6C8C">
        <w:t xml:space="preserve"> gennem kollision, men det vurderes at rørhøg ikke er særligt udsat for kollisionsrisikoen</w:t>
      </w:r>
      <w:r>
        <w:t xml:space="preserve">. </w:t>
      </w:r>
      <w:r w:rsidR="0028205D">
        <w:t xml:space="preserve">Arten er manøvredygtig og jager typisk i helt lave højder lige over terræn. Det konkluderes således for rørhøgens vedkommende, at de planlagte møller ikke vil medføre en væsentlig påvirkning af den lokale ynglebestand. </w:t>
      </w:r>
    </w:p>
    <w:p w:rsidR="00AA17C0" w:rsidRDefault="00AA17C0" w:rsidP="00485FCB">
      <w:pPr>
        <w:pStyle w:val="Brdtekst"/>
      </w:pPr>
      <w:r>
        <w:t>Der kan forekomme tab af individer for andre fuglearter</w:t>
      </w:r>
      <w:r w:rsidR="0028205D">
        <w:t>, men vandfuglene forekommer især over vandområdet og kun i mindre omfang over land og er dermed mindre udsatte for kollisionsrisikoen. Vandfuglene på udpegningsgrundlaget forekommer desuden primært som rastende fugle og i ganske store antal, hvorfor mu</w:t>
      </w:r>
      <w:r w:rsidR="0028205D">
        <w:lastRenderedPageBreak/>
        <w:t>lige tab af enkeltindivider ikke vil have en væsentlig effekt på disse arters bevaringsstatus inden for Natura 2000-området.</w:t>
      </w:r>
    </w:p>
    <w:p w:rsidR="0028205D" w:rsidRDefault="0028205D" w:rsidP="0028205D">
      <w:pPr>
        <w:pStyle w:val="Brdtekst"/>
      </w:pPr>
      <w:r>
        <w:t xml:space="preserve">Tab af enkelte individer hos bestande, der forekommer fåtalligt, vurderes at kunne medføre en </w:t>
      </w:r>
      <w:r w:rsidR="00143619">
        <w:t xml:space="preserve">langsigtet, </w:t>
      </w:r>
      <w:r>
        <w:t>væsentlig påvirkning af arternes bevaringsstatus i Natura 2000-området. Dette gælder i særligt omfang for havørnen på grund af dennes sparsomme</w:t>
      </w:r>
      <w:r w:rsidR="00143619">
        <w:t>,</w:t>
      </w:r>
      <w:r>
        <w:t xml:space="preserve"> men betydningsfulde forekomst i området. Artens bevaringsstatus er særlig følsom som følge af dens lave reproduktion og sene ynglealder. </w:t>
      </w:r>
    </w:p>
    <w:p w:rsidR="003A7E13" w:rsidRPr="00E32655" w:rsidRDefault="000E3368" w:rsidP="00485FCB">
      <w:pPr>
        <w:pStyle w:val="Brdtekst"/>
        <w:rPr>
          <w:highlight w:val="yellow"/>
        </w:rPr>
      </w:pPr>
      <w:r w:rsidRPr="00E32655">
        <w:rPr>
          <w:highlight w:val="yellow"/>
        </w:rPr>
        <w:t xml:space="preserve">På baggrund af den </w:t>
      </w:r>
      <w:r w:rsidR="003A7E13" w:rsidRPr="00E32655">
        <w:rPr>
          <w:highlight w:val="yellow"/>
        </w:rPr>
        <w:t>relativt fåtalli</w:t>
      </w:r>
      <w:r w:rsidR="0028205D" w:rsidRPr="00E32655">
        <w:rPr>
          <w:highlight w:val="yellow"/>
        </w:rPr>
        <w:t xml:space="preserve">ge </w:t>
      </w:r>
      <w:r w:rsidR="00143619" w:rsidRPr="00E32655">
        <w:rPr>
          <w:highlight w:val="yellow"/>
        </w:rPr>
        <w:t xml:space="preserve">og følsomme </w:t>
      </w:r>
      <w:r w:rsidR="0028205D" w:rsidRPr="00E32655">
        <w:rPr>
          <w:highlight w:val="yellow"/>
        </w:rPr>
        <w:t>forekomst af havørn</w:t>
      </w:r>
      <w:r w:rsidR="003A7E13" w:rsidRPr="00E32655">
        <w:rPr>
          <w:highlight w:val="yellow"/>
        </w:rPr>
        <w:t>,</w:t>
      </w:r>
      <w:r w:rsidR="00143619" w:rsidRPr="00E32655">
        <w:rPr>
          <w:highlight w:val="yellow"/>
        </w:rPr>
        <w:t xml:space="preserve"> artens regelmæssige færden i projektområdet og dens udsathed for kollisioner,</w:t>
      </w:r>
      <w:r w:rsidRPr="00E32655">
        <w:rPr>
          <w:highlight w:val="yellow"/>
        </w:rPr>
        <w:t xml:space="preserve"> vurderes en væsentligt </w:t>
      </w:r>
      <w:r w:rsidR="00C86277" w:rsidRPr="00E32655">
        <w:rPr>
          <w:highlight w:val="yellow"/>
        </w:rPr>
        <w:t xml:space="preserve">negativ </w:t>
      </w:r>
      <w:r w:rsidRPr="00E32655">
        <w:rPr>
          <w:highlight w:val="yellow"/>
        </w:rPr>
        <w:t xml:space="preserve">påvirkning </w:t>
      </w:r>
      <w:r w:rsidR="00C51332" w:rsidRPr="00E32655">
        <w:rPr>
          <w:highlight w:val="yellow"/>
        </w:rPr>
        <w:t>af d</w:t>
      </w:r>
      <w:r w:rsidR="00C86277" w:rsidRPr="00E32655">
        <w:rPr>
          <w:highlight w:val="yellow"/>
        </w:rPr>
        <w:t>enne</w:t>
      </w:r>
      <w:r w:rsidRPr="00E32655">
        <w:rPr>
          <w:highlight w:val="yellow"/>
        </w:rPr>
        <w:t xml:space="preserve"> art</w:t>
      </w:r>
      <w:r w:rsidR="00C51332" w:rsidRPr="00E32655">
        <w:rPr>
          <w:highlight w:val="yellow"/>
        </w:rPr>
        <w:t>s bevaringsstatus</w:t>
      </w:r>
      <w:r w:rsidRPr="00E32655">
        <w:rPr>
          <w:highlight w:val="yellow"/>
        </w:rPr>
        <w:t xml:space="preserve"> ikke at kunne udelukkes. </w:t>
      </w:r>
    </w:p>
    <w:p w:rsidR="00C2070D" w:rsidRDefault="003A7E13" w:rsidP="00485FCB">
      <w:pPr>
        <w:pStyle w:val="Brdtekst"/>
      </w:pPr>
      <w:r w:rsidRPr="00E32655">
        <w:rPr>
          <w:highlight w:val="yellow"/>
        </w:rPr>
        <w:t>Konklusionen på væsentlighedsvurderingen er derfor</w:t>
      </w:r>
      <w:r w:rsidR="00143619" w:rsidRPr="00E32655">
        <w:rPr>
          <w:highlight w:val="yellow"/>
        </w:rPr>
        <w:t>,</w:t>
      </w:r>
      <w:r w:rsidRPr="00E32655">
        <w:rPr>
          <w:highlight w:val="yellow"/>
        </w:rPr>
        <w:t xml:space="preserve"> at </w:t>
      </w:r>
      <w:r w:rsidR="00C51332" w:rsidRPr="00E32655">
        <w:rPr>
          <w:highlight w:val="yellow"/>
        </w:rPr>
        <w:t xml:space="preserve">det ikke </w:t>
      </w:r>
      <w:r w:rsidRPr="00E32655">
        <w:rPr>
          <w:highlight w:val="yellow"/>
        </w:rPr>
        <w:t xml:space="preserve">kan </w:t>
      </w:r>
      <w:r w:rsidR="00C51332" w:rsidRPr="00E32655">
        <w:rPr>
          <w:highlight w:val="yellow"/>
        </w:rPr>
        <w:t xml:space="preserve">udelukkes, at </w:t>
      </w:r>
      <w:r w:rsidR="000E3368" w:rsidRPr="00E32655">
        <w:rPr>
          <w:highlight w:val="yellow"/>
        </w:rPr>
        <w:t xml:space="preserve">etableringen af to vindmøller op til 80 meters højde </w:t>
      </w:r>
      <w:r w:rsidR="00C51332" w:rsidRPr="00E32655">
        <w:rPr>
          <w:highlight w:val="yellow"/>
        </w:rPr>
        <w:t xml:space="preserve">kan </w:t>
      </w:r>
      <w:r w:rsidR="000E3368" w:rsidRPr="00E32655">
        <w:rPr>
          <w:highlight w:val="yellow"/>
        </w:rPr>
        <w:t xml:space="preserve">medføre væsentlige negative indvirkninger </w:t>
      </w:r>
      <w:r w:rsidRPr="00E32655">
        <w:rPr>
          <w:highlight w:val="yellow"/>
        </w:rPr>
        <w:t xml:space="preserve">på dele af </w:t>
      </w:r>
      <w:r w:rsidR="000E3368" w:rsidRPr="00E32655">
        <w:rPr>
          <w:highlight w:val="yellow"/>
        </w:rPr>
        <w:t>Natura 2000-områdets udpegningsgrundlag</w:t>
      </w:r>
      <w:r w:rsidR="00AA17C0" w:rsidRPr="00E32655">
        <w:rPr>
          <w:highlight w:val="yellow"/>
        </w:rPr>
        <w:t>.</w:t>
      </w:r>
      <w:r w:rsidR="00AA17C0">
        <w:t xml:space="preserve"> </w:t>
      </w:r>
    </w:p>
    <w:p w:rsidR="00485FCB" w:rsidRDefault="00485FCB" w:rsidP="00485FCB">
      <w:pPr>
        <w:pStyle w:val="Brdtekst"/>
      </w:pPr>
      <w:r>
        <w:t xml:space="preserve">Dette begrundes </w:t>
      </w:r>
      <w:r w:rsidR="00C51332">
        <w:t xml:space="preserve">særligt </w:t>
      </w:r>
      <w:r>
        <w:t>i følgende forhold:</w:t>
      </w:r>
    </w:p>
    <w:p w:rsidR="00485FCB" w:rsidRDefault="00485FCB" w:rsidP="003D16AA">
      <w:pPr>
        <w:pStyle w:val="Opstilling-punkttegn"/>
      </w:pPr>
      <w:r>
        <w:t xml:space="preserve">Vindmøllerne ligger </w:t>
      </w:r>
      <w:r w:rsidR="00AA17C0">
        <w:t xml:space="preserve">i </w:t>
      </w:r>
      <w:r>
        <w:t xml:space="preserve">umiddelbar </w:t>
      </w:r>
      <w:r w:rsidR="000E3368">
        <w:t xml:space="preserve">nærhed af </w:t>
      </w:r>
      <w:r w:rsidR="00143619">
        <w:t xml:space="preserve">lokaliteter, hvor havørnen </w:t>
      </w:r>
      <w:r w:rsidR="00AA17C0">
        <w:t>yngler</w:t>
      </w:r>
      <w:r w:rsidR="00143619">
        <w:t xml:space="preserve"> og dagligt bevæger sig mellem yngleområder og egnede fødesøgningsområder</w:t>
      </w:r>
      <w:r w:rsidR="00AA17C0">
        <w:t xml:space="preserve">. </w:t>
      </w:r>
    </w:p>
    <w:p w:rsidR="00546AF3" w:rsidRDefault="00AA17C0" w:rsidP="00A21F73">
      <w:pPr>
        <w:pStyle w:val="Opstilling-punkttegn"/>
      </w:pPr>
      <w:r>
        <w:t>Tab af enkelte individer vurderes at kunne medfør</w:t>
      </w:r>
      <w:r w:rsidR="00143619">
        <w:t>e negativ indvirkning på havørnen</w:t>
      </w:r>
      <w:r>
        <w:t>s mulighed for opnåelse af gunstig bevaringsstatus</w:t>
      </w:r>
      <w:r w:rsidR="00C51332">
        <w:t>,</w:t>
      </w:r>
      <w:r w:rsidR="00143619">
        <w:t xml:space="preserve"> særligt begrundet i arten</w:t>
      </w:r>
      <w:r w:rsidR="00C51332">
        <w:t>s langsomme reproduktion</w:t>
      </w:r>
      <w:r>
        <w:t>.</w:t>
      </w:r>
    </w:p>
    <w:p w:rsidR="003D16AA" w:rsidRDefault="00546AF3" w:rsidP="00A21F73">
      <w:pPr>
        <w:pStyle w:val="Opstilling-punkttegn"/>
      </w:pPr>
      <w:r>
        <w:t>Den umiddelbart tilgængelige viden er ikke tilstrækkelig til at give belæg for med sikkerhed at afvise væsentlige påvirkninger af Natura 2000-interesser.</w:t>
      </w:r>
    </w:p>
    <w:p w:rsidR="00485FCB" w:rsidRPr="00402BAD" w:rsidRDefault="00485FCB" w:rsidP="00485FCB">
      <w:pPr>
        <w:pStyle w:val="Brdtekst"/>
      </w:pPr>
      <w:r>
        <w:t xml:space="preserve">På grundlag af ovenstående forhold vurderes det derfor, at </w:t>
      </w:r>
      <w:r w:rsidR="00B868DB">
        <w:t>der bør</w:t>
      </w:r>
      <w:r>
        <w:t xml:space="preserve"> gennemføres en </w:t>
      </w:r>
      <w:r w:rsidR="0076554B">
        <w:t>konsekvensvurdering</w:t>
      </w:r>
      <w:r w:rsidR="003A7E13">
        <w:t xml:space="preserve"> i overensstemmelse med § 7, stk. 2 i Habitatbekendtgørelsen</w:t>
      </w:r>
      <w:r w:rsidR="0076554B">
        <w:t xml:space="preserve">. </w:t>
      </w:r>
      <w:r w:rsidR="00AA17C0">
        <w:t xml:space="preserve">Denne vurdering </w:t>
      </w:r>
      <w:r w:rsidR="003A7E13">
        <w:t>bør</w:t>
      </w:r>
      <w:r w:rsidR="00AA17C0">
        <w:t xml:space="preserve"> </w:t>
      </w:r>
      <w:r w:rsidR="00C51332">
        <w:t xml:space="preserve">udelukkende </w:t>
      </w:r>
      <w:r w:rsidR="00AA17C0">
        <w:t>fokus</w:t>
      </w:r>
      <w:r w:rsidR="003A7E13">
        <w:t>ere</w:t>
      </w:r>
      <w:r w:rsidR="00AA17C0">
        <w:t xml:space="preserve"> på havørn, da det vurderes, at </w:t>
      </w:r>
      <w:r w:rsidR="00C51332">
        <w:t xml:space="preserve">det især vil </w:t>
      </w:r>
      <w:r w:rsidR="00143619">
        <w:t>være denne art</w:t>
      </w:r>
      <w:r w:rsidR="00C51332">
        <w:t>,</w:t>
      </w:r>
      <w:r w:rsidR="00AA17C0">
        <w:t xml:space="preserve"> som kan påvirkes væsentligt. </w:t>
      </w:r>
    </w:p>
    <w:p w:rsidR="00485FCB" w:rsidRDefault="003D16AA" w:rsidP="00CD3EA2">
      <w:pPr>
        <w:pStyle w:val="Brdtekst"/>
      </w:pPr>
      <w:r>
        <w:t xml:space="preserve">Det vides ikke på </w:t>
      </w:r>
      <w:r w:rsidR="00907957">
        <w:t>nu</w:t>
      </w:r>
      <w:r>
        <w:t xml:space="preserve">værende tidspunkt, hvordan anlægsarbejdet vil blive gennemført, men det vurderes umiddelbart, at anlægsarbejdet ikke vil medføre væsentlige </w:t>
      </w:r>
      <w:r w:rsidR="003A7E13">
        <w:t xml:space="preserve">forstyrrelser, herunder </w:t>
      </w:r>
      <w:r>
        <w:t xml:space="preserve">støjemissioner, der vil kunne medføre væsentlige påvirkninger af de </w:t>
      </w:r>
      <w:r w:rsidR="003A7E13">
        <w:t xml:space="preserve">tilgrænsende </w:t>
      </w:r>
      <w:r>
        <w:t>Natura 2000-områder. Anlægsarbejdet skal derfor næppe inddrages i Natura 2000-konsekvensvurderingen.</w:t>
      </w:r>
    </w:p>
    <w:p w:rsidR="003D16AA" w:rsidRDefault="00CD3EA2" w:rsidP="00CD3EA2">
      <w:pPr>
        <w:pStyle w:val="Brdtekst"/>
      </w:pPr>
      <w:r>
        <w:t>Effekten af kollisions</w:t>
      </w:r>
      <w:r w:rsidR="00143619">
        <w:t>risikoen</w:t>
      </w:r>
      <w:r>
        <w:t xml:space="preserve"> vil selvsagt afhænge af fuglenes </w:t>
      </w:r>
      <w:r w:rsidR="00143619">
        <w:t xml:space="preserve">forekomst og adfærd </w:t>
      </w:r>
      <w:r>
        <w:t>i området</w:t>
      </w:r>
      <w:r w:rsidR="00B868DB">
        <w:t>, herunder f</w:t>
      </w:r>
      <w:r>
        <w:t xml:space="preserve">orekomst af ynglepladser og væsentlige raste- og fødesøgningsområder. </w:t>
      </w:r>
      <w:r w:rsidR="00143619">
        <w:t>Kendskabet til disse er for nærværende tilstrækkeligt til at vurdere, at der er risiko for en væsentlig påvirkning af havørnens bevaringsstatus, men e</w:t>
      </w:r>
      <w:r w:rsidR="00C86277">
        <w:t xml:space="preserve">n mere aktuel og detaljeret kortlægning samt </w:t>
      </w:r>
      <w:r>
        <w:t xml:space="preserve">beskrivelse af </w:t>
      </w:r>
      <w:r w:rsidR="007E06BF">
        <w:t>arten</w:t>
      </w:r>
      <w:r>
        <w:t xml:space="preserve">s forekomst og </w:t>
      </w:r>
      <w:r w:rsidR="003A7E13">
        <w:t xml:space="preserve">adfærd </w:t>
      </w:r>
      <w:r>
        <w:t xml:space="preserve">omkring </w:t>
      </w:r>
      <w:r w:rsidR="007E06BF">
        <w:t>projektområdet</w:t>
      </w:r>
      <w:r w:rsidR="003A7E13">
        <w:t xml:space="preserve"> </w:t>
      </w:r>
      <w:r>
        <w:t xml:space="preserve">vil </w:t>
      </w:r>
      <w:r w:rsidR="007E06BF">
        <w:t>alligevel</w:t>
      </w:r>
      <w:r>
        <w:t xml:space="preserve"> være en central del af en nærmere undersøgelse af </w:t>
      </w:r>
      <w:r w:rsidR="003A7E13">
        <w:t xml:space="preserve">de </w:t>
      </w:r>
      <w:r>
        <w:t xml:space="preserve">mulige konsekvenser af </w:t>
      </w:r>
      <w:r w:rsidR="003A7E13">
        <w:t xml:space="preserve">etableringen </w:t>
      </w:r>
      <w:r>
        <w:t xml:space="preserve">af vindmøllerne. </w:t>
      </w:r>
    </w:p>
    <w:p w:rsidR="00CD3EA2" w:rsidRPr="00E32655" w:rsidRDefault="003A7E13" w:rsidP="00CD3EA2">
      <w:pPr>
        <w:pStyle w:val="Brdtekst"/>
        <w:rPr>
          <w:highlight w:val="yellow"/>
        </w:rPr>
      </w:pPr>
      <w:r w:rsidRPr="00E32655">
        <w:rPr>
          <w:highlight w:val="yellow"/>
        </w:rPr>
        <w:lastRenderedPageBreak/>
        <w:t>Der bør i forbindelse med k</w:t>
      </w:r>
      <w:r w:rsidR="00B868DB" w:rsidRPr="00E32655">
        <w:rPr>
          <w:highlight w:val="yellow"/>
        </w:rPr>
        <w:t xml:space="preserve">onsekvensvurderingen </w:t>
      </w:r>
      <w:r w:rsidRPr="00E32655">
        <w:rPr>
          <w:highlight w:val="yellow"/>
        </w:rPr>
        <w:t xml:space="preserve">tages stilling til hvorvidt der skal </w:t>
      </w:r>
      <w:bookmarkStart w:id="25" w:name="_GoBack"/>
      <w:bookmarkEnd w:id="25"/>
      <w:r w:rsidRPr="00E32655">
        <w:rPr>
          <w:highlight w:val="yellow"/>
        </w:rPr>
        <w:t xml:space="preserve">gennemføres </w:t>
      </w:r>
      <w:r w:rsidR="00CD3EA2" w:rsidRPr="00E32655">
        <w:rPr>
          <w:highlight w:val="yellow"/>
        </w:rPr>
        <w:t>fugle</w:t>
      </w:r>
      <w:r w:rsidR="007E06BF" w:rsidRPr="00E32655">
        <w:rPr>
          <w:highlight w:val="yellow"/>
        </w:rPr>
        <w:t>observationer</w:t>
      </w:r>
      <w:r w:rsidR="00CD3EA2" w:rsidRPr="00E32655">
        <w:rPr>
          <w:highlight w:val="yellow"/>
        </w:rPr>
        <w:t xml:space="preserve">, </w:t>
      </w:r>
      <w:r w:rsidR="007E06BF" w:rsidRPr="00E32655">
        <w:rPr>
          <w:highlight w:val="yellow"/>
        </w:rPr>
        <w:t xml:space="preserve">samt hvorledes </w:t>
      </w:r>
      <w:r w:rsidRPr="00E32655">
        <w:rPr>
          <w:highlight w:val="yellow"/>
        </w:rPr>
        <w:t xml:space="preserve">vurderingen kan </w:t>
      </w:r>
      <w:r w:rsidR="007E06BF" w:rsidRPr="00E32655">
        <w:rPr>
          <w:highlight w:val="yellow"/>
        </w:rPr>
        <w:t xml:space="preserve">inddrage </w:t>
      </w:r>
      <w:r w:rsidR="00CD3EA2" w:rsidRPr="00E32655">
        <w:rPr>
          <w:highlight w:val="yellow"/>
        </w:rPr>
        <w:t xml:space="preserve">eksisterende data for områderne, konsultationer med lokale </w:t>
      </w:r>
      <w:r w:rsidR="00B868DB" w:rsidRPr="00E32655">
        <w:rPr>
          <w:highlight w:val="yellow"/>
        </w:rPr>
        <w:t xml:space="preserve">fuglekyndige personer </w:t>
      </w:r>
      <w:r w:rsidR="007E06BF" w:rsidRPr="00E32655">
        <w:rPr>
          <w:highlight w:val="yellow"/>
        </w:rPr>
        <w:t>samt besigtigelse af projektområdet</w:t>
      </w:r>
      <w:r w:rsidR="00CD3EA2" w:rsidRPr="00E32655">
        <w:rPr>
          <w:highlight w:val="yellow"/>
        </w:rPr>
        <w:t>.</w:t>
      </w:r>
    </w:p>
    <w:p w:rsidR="00CD3EA2" w:rsidRDefault="00CD3EA2" w:rsidP="00CD3EA2">
      <w:pPr>
        <w:pStyle w:val="Brdtekst"/>
      </w:pPr>
      <w:r w:rsidRPr="00E32655">
        <w:rPr>
          <w:highlight w:val="yellow"/>
        </w:rPr>
        <w:t>De</w:t>
      </w:r>
      <w:r w:rsidR="00C51332" w:rsidRPr="00E32655">
        <w:rPr>
          <w:highlight w:val="yellow"/>
        </w:rPr>
        <w:t>t</w:t>
      </w:r>
      <w:r w:rsidRPr="00E32655">
        <w:rPr>
          <w:highlight w:val="yellow"/>
        </w:rPr>
        <w:t xml:space="preserve"> vurderes, at der ikke er andre forhold omkring etableringen af </w:t>
      </w:r>
      <w:r w:rsidR="00B868DB" w:rsidRPr="00E32655">
        <w:rPr>
          <w:highlight w:val="yellow"/>
        </w:rPr>
        <w:t xml:space="preserve">vindmøllerne </w:t>
      </w:r>
      <w:r w:rsidRPr="00E32655">
        <w:rPr>
          <w:highlight w:val="yellow"/>
        </w:rPr>
        <w:t xml:space="preserve">og anlægsarbejdet, der vil kunne medføre væsentlige negative indvirkninger på </w:t>
      </w:r>
      <w:r w:rsidR="00B868DB" w:rsidRPr="00E32655">
        <w:rPr>
          <w:highlight w:val="yellow"/>
        </w:rPr>
        <w:t>N</w:t>
      </w:r>
      <w:r w:rsidRPr="00E32655">
        <w:rPr>
          <w:highlight w:val="yellow"/>
        </w:rPr>
        <w:t>atura 2000-området.</w:t>
      </w:r>
      <w:r>
        <w:t xml:space="preserve">  </w:t>
      </w:r>
    </w:p>
    <w:p w:rsidR="007E06BF" w:rsidRDefault="007E06BF" w:rsidP="007E06BF">
      <w:pPr>
        <w:pStyle w:val="Overskrift2"/>
      </w:pPr>
      <w:bookmarkStart w:id="26" w:name="_Toc408406242"/>
      <w:r>
        <w:t>Vurdering af påvirkning på bilag IV-arter</w:t>
      </w:r>
      <w:bookmarkEnd w:id="26"/>
    </w:p>
    <w:p w:rsidR="007E06BF" w:rsidRDefault="007E06BF" w:rsidP="007E06BF">
      <w:pPr>
        <w:pStyle w:val="Brdtekst"/>
      </w:pPr>
      <w:r>
        <w:t xml:space="preserve">Med den nuværende, planlagte vindmølleplacering kan det ikke udelukkes, at der vi opstå kollisionskonflikter mellem sydflagermus og den nordlige af de planlagte møller. </w:t>
      </w:r>
    </w:p>
    <w:p w:rsidR="007E06BF" w:rsidRPr="007E06BF" w:rsidRDefault="007E06BF" w:rsidP="007E06BF">
      <w:pPr>
        <w:pStyle w:val="Brdtekst"/>
      </w:pPr>
      <w:r>
        <w:t xml:space="preserve">Det er ikke sandsynligt, at der i øvrigt vil kunne ske væsentlige påvirkninger af andre bilag IV-arter som følge af opstilling og drift af de planlagte vindmøller. </w:t>
      </w:r>
    </w:p>
    <w:p w:rsidR="00473AE2" w:rsidRDefault="00473AE2" w:rsidP="00473AE2">
      <w:pPr>
        <w:pStyle w:val="Brdtekst"/>
      </w:pPr>
    </w:p>
    <w:p w:rsidR="00473AE2" w:rsidRDefault="00473AE2" w:rsidP="00806B75">
      <w:pPr>
        <w:pStyle w:val="Brdtekst"/>
      </w:pPr>
    </w:p>
    <w:p w:rsidR="00B64787" w:rsidRDefault="00B64787">
      <w:pPr>
        <w:spacing w:line="240" w:lineRule="auto"/>
        <w:rPr>
          <w:sz w:val="36"/>
        </w:rPr>
      </w:pPr>
      <w:bookmarkStart w:id="27" w:name="_Toc405555002"/>
    </w:p>
    <w:p w:rsidR="00473AE2" w:rsidRDefault="00473AE2" w:rsidP="00714DF9">
      <w:pPr>
        <w:pStyle w:val="Overskrift1"/>
      </w:pPr>
      <w:bookmarkStart w:id="28" w:name="_Toc408406243"/>
      <w:r>
        <w:lastRenderedPageBreak/>
        <w:t>Referencer</w:t>
      </w:r>
      <w:bookmarkEnd w:id="27"/>
      <w:bookmarkEnd w:id="28"/>
    </w:p>
    <w:p w:rsidR="004B70D2" w:rsidRPr="00E32655" w:rsidRDefault="004B70D2" w:rsidP="00B64787">
      <w:pPr>
        <w:pStyle w:val="Brdtekst"/>
        <w:ind w:left="567" w:hanging="567"/>
        <w:rPr>
          <w:lang w:val="en-US"/>
        </w:rPr>
      </w:pPr>
      <w:r w:rsidRPr="00E32655">
        <w:rPr>
          <w:lang w:val="en-US"/>
        </w:rPr>
        <w:t xml:space="preserve">Christensen, T. </w:t>
      </w:r>
      <w:r w:rsidR="007204E0" w:rsidRPr="00E32655">
        <w:rPr>
          <w:lang w:val="en-US"/>
        </w:rPr>
        <w:t>K., Petersen, I. K., Fox, A. D.</w:t>
      </w:r>
      <w:r w:rsidRPr="00E32655">
        <w:rPr>
          <w:lang w:val="en-US"/>
        </w:rPr>
        <w:t xml:space="preserve"> </w:t>
      </w:r>
      <w:r w:rsidR="007204E0" w:rsidRPr="00E32655">
        <w:rPr>
          <w:lang w:val="en-US"/>
        </w:rPr>
        <w:t>(2006):</w:t>
      </w:r>
      <w:r w:rsidRPr="00E32655">
        <w:rPr>
          <w:lang w:val="en-US"/>
        </w:rPr>
        <w:t xml:space="preserve"> Effects on birds of the Horns Rev 2 offshore wind farm: Environmental Impact Assessment</w:t>
      </w:r>
    </w:p>
    <w:p w:rsidR="00C9432B" w:rsidRPr="00E32655" w:rsidRDefault="00C9432B" w:rsidP="00B64787">
      <w:pPr>
        <w:pStyle w:val="Brdtekst"/>
        <w:ind w:left="567" w:hanging="567"/>
        <w:rPr>
          <w:lang w:val="en-US"/>
        </w:rPr>
      </w:pPr>
      <w:r>
        <w:t xml:space="preserve">DOFbasen (2014): Observationer [online]. Tilgængelig på internet. </w:t>
      </w:r>
      <w:r w:rsidRPr="00E32655">
        <w:rPr>
          <w:lang w:val="en-US"/>
        </w:rPr>
        <w:t>URL &lt; http://www.dofbasen.dk/search/index.php&gt;</w:t>
      </w:r>
    </w:p>
    <w:p w:rsidR="00846E01" w:rsidRDefault="00846E01" w:rsidP="00B64787">
      <w:pPr>
        <w:pStyle w:val="Brdtekst"/>
        <w:ind w:left="567" w:hanging="567"/>
      </w:pPr>
      <w:r w:rsidRPr="00E32655">
        <w:rPr>
          <w:lang w:val="en-US"/>
        </w:rPr>
        <w:t>Naturstyrelsen (201</w:t>
      </w:r>
      <w:r w:rsidR="00594775" w:rsidRPr="00E32655">
        <w:rPr>
          <w:lang w:val="en-US"/>
        </w:rPr>
        <w:t>1</w:t>
      </w:r>
      <w:r w:rsidRPr="00E32655">
        <w:rPr>
          <w:lang w:val="en-US"/>
        </w:rPr>
        <w:t xml:space="preserve">): Natura 2010-plan 2010-2015. </w:t>
      </w:r>
      <w:r>
        <w:t xml:space="preserve">Sydfynske Øhav. Natura 2000-område nr. 127. Habitatområde H111 og Fuglebeskyttelsesområde F71+72. </w:t>
      </w:r>
      <w:r w:rsidRPr="00422523">
        <w:t>Miljøministeriet, Naturstyrelsen</w:t>
      </w:r>
    </w:p>
    <w:p w:rsidR="00D763BB" w:rsidRDefault="00D763BB" w:rsidP="003750B5">
      <w:pPr>
        <w:pStyle w:val="Brdtekst"/>
        <w:ind w:left="567" w:hanging="567"/>
      </w:pPr>
      <w:r>
        <w:t xml:space="preserve">Naturstyrelsen (2012a): Udpegningsgrundlag for fuglebeskyttelsesområderne gældende fra 2013 [online]. Citeret d. 10. december 2014. Tilgængelig online: </w:t>
      </w:r>
      <w:r w:rsidRPr="00D763BB">
        <w:t>http://naturstyrelsen.dk/media/nst/68126/Fugl-Udpgr-2012-31Dec.pdf</w:t>
      </w:r>
    </w:p>
    <w:p w:rsidR="00B95EB8" w:rsidRDefault="00B95EB8" w:rsidP="003750B5">
      <w:pPr>
        <w:pStyle w:val="Brdtekst"/>
        <w:ind w:left="567" w:hanging="567"/>
      </w:pPr>
      <w:r>
        <w:t>Naturstyrelsen (2012</w:t>
      </w:r>
      <w:r w:rsidR="00D763BB">
        <w:t>b</w:t>
      </w:r>
      <w:r>
        <w:t>): Udpegningsgrundlag for habitatområderne gældende fra 2013 [online]</w:t>
      </w:r>
      <w:r w:rsidR="004F6425">
        <w:t xml:space="preserve">. Citeret d. 10. december 2014. </w:t>
      </w:r>
      <w:r>
        <w:t>Tilgængelig o</w:t>
      </w:r>
      <w:r w:rsidR="004F6425">
        <w:t>nline</w:t>
      </w:r>
      <w:r>
        <w:t xml:space="preserve">: </w:t>
      </w:r>
      <w:hyperlink r:id="rId29" w:history="1">
        <w:r w:rsidR="00541533" w:rsidRPr="003D7E3F">
          <w:rPr>
            <w:rStyle w:val="Hyperlink"/>
          </w:rPr>
          <w:t>http://naturstyrelsen.dk/media/nst/Attachments/HabitatUdpgr201231Dec.pdf</w:t>
        </w:r>
      </w:hyperlink>
    </w:p>
    <w:p w:rsidR="00422523" w:rsidRDefault="00422523" w:rsidP="003750B5">
      <w:pPr>
        <w:pStyle w:val="Brdtekst"/>
        <w:ind w:left="567" w:hanging="567"/>
      </w:pPr>
      <w:r>
        <w:t xml:space="preserve">Naturstyrelsen (2013): Natura 2000-basisanalyse 2016-2021 for Sydfynske Øhav Natura 2000-område nr. 127, Habitatområde nr. 111 og Fuglebeskyttelsesområde nr. 71 og 72. </w:t>
      </w:r>
      <w:r w:rsidRPr="00422523">
        <w:t>Miljøministeriet, Naturstyrelsen</w:t>
      </w:r>
    </w:p>
    <w:p w:rsidR="00A2592C" w:rsidRDefault="00A2592C" w:rsidP="003750B5">
      <w:pPr>
        <w:pStyle w:val="Brdtekst"/>
        <w:ind w:left="567" w:hanging="567"/>
        <w:rPr>
          <w:rStyle w:val="Hyperlink"/>
        </w:rPr>
      </w:pPr>
      <w:r>
        <w:t>Nygaard, B., Elmeros, M., Holm, T.E., Kahlert, J., Moeslund, J.E., Therkildsen, O.R., Søgaard, B. &amp; Ejrnæs, R. 2014. Vindmøller på § 3-beskyttede naturarealer. Potentielle konsekvenser for biodiversitet, fugle og flagermus. Aarhus Universitet, DCE – Nationalt Center for Miljø og Energi, 192 s. - Videnskabelig rapport fra DCE - Nationalt Center for Miljø og Energi nr. 115</w:t>
      </w:r>
      <w:r>
        <w:br/>
      </w:r>
      <w:hyperlink r:id="rId30" w:history="1">
        <w:r w:rsidRPr="002E6247">
          <w:rPr>
            <w:rStyle w:val="Hyperlink"/>
          </w:rPr>
          <w:t>http://dce2.au.dk/pub/SR115.pdf</w:t>
        </w:r>
      </w:hyperlink>
    </w:p>
    <w:p w:rsidR="00AB41CA" w:rsidRDefault="00AB41CA" w:rsidP="003750B5">
      <w:pPr>
        <w:pStyle w:val="Brdtekst"/>
        <w:ind w:left="567" w:hanging="567"/>
      </w:pPr>
    </w:p>
    <w:p w:rsidR="00AB41CA" w:rsidRDefault="00AB41CA" w:rsidP="003750B5">
      <w:pPr>
        <w:pStyle w:val="Brdtekst"/>
        <w:ind w:left="567" w:hanging="567"/>
      </w:pPr>
      <w:r>
        <w:t>Pedersen, L., E. Ehmsen &amp; I.H. Sørensen (2014): Projekt Ørn – Årsrapport 2013. Dansk Ornitologisk Forening.</w:t>
      </w:r>
    </w:p>
    <w:p w:rsidR="00572E79" w:rsidRDefault="00572E79" w:rsidP="003750B5">
      <w:pPr>
        <w:pStyle w:val="Brdtekst"/>
        <w:ind w:left="567" w:hanging="567"/>
      </w:pPr>
      <w:r>
        <w:lastRenderedPageBreak/>
        <w:t xml:space="preserve">Petersen, I. K. (1995): Vandfuglenes antal og fordeling i Det Sydfynske Øhav og Helnæs Bugt 1991-1992. Et samarbejdsprojekt mellem Skov- og Naturstyrelsen, Fyns Amt og DMU. Faglig rapport fra DMU, nr. 130. </w:t>
      </w:r>
    </w:p>
    <w:p w:rsidR="003750B5" w:rsidRDefault="00473AE2" w:rsidP="00594775">
      <w:pPr>
        <w:pStyle w:val="Brdtekst"/>
        <w:ind w:left="567" w:hanging="567"/>
      </w:pPr>
      <w:r>
        <w:t xml:space="preserve"> </w:t>
      </w:r>
      <w:r w:rsidR="00C37C41" w:rsidRPr="00C65216">
        <w:t>Rydell</w:t>
      </w:r>
      <w:r w:rsidR="00C37C41">
        <w:t>, J., H. Engstrøm, A. Hedenström, J. Kyed, J. Pettersson &amp; M. Green</w:t>
      </w:r>
      <w:r w:rsidR="00C37C41" w:rsidRPr="00C65216">
        <w:t xml:space="preserve">  (2011): Vindkraftens </w:t>
      </w:r>
      <w:r w:rsidR="00C37C41">
        <w:t>effekter</w:t>
      </w:r>
      <w:r w:rsidR="00C37C41" w:rsidRPr="00C65216">
        <w:t xml:space="preserve"> på fåglar och fladdermöss –</w:t>
      </w:r>
      <w:r w:rsidR="00C37C41">
        <w:t xml:space="preserve"> En</w:t>
      </w:r>
      <w:r w:rsidR="00C37C41" w:rsidRPr="00C65216">
        <w:t xml:space="preserve"> </w:t>
      </w:r>
      <w:r w:rsidR="00C37C41">
        <w:t>s</w:t>
      </w:r>
      <w:r w:rsidR="00C37C41" w:rsidRPr="00C65216">
        <w:t>yntesrapport. Naturvårdsverket</w:t>
      </w:r>
      <w:r w:rsidR="00C37C41">
        <w:t xml:space="preserve">. </w:t>
      </w:r>
    </w:p>
    <w:p w:rsidR="00BC3F06" w:rsidRDefault="00BC3F06" w:rsidP="00BC3F06">
      <w:pPr>
        <w:pStyle w:val="Brdtekst"/>
        <w:ind w:left="567" w:hanging="567"/>
        <w:rPr>
          <w:color w:val="212121"/>
        </w:rPr>
      </w:pPr>
      <w:r w:rsidRPr="00BC3F06">
        <w:rPr>
          <w:color w:val="212121"/>
        </w:rPr>
        <w:t>Søgaard, B. &amp; Asferg, T. (red.) 2007: Håndbog om arter på habitatdirektivets bilag IV – til brug i</w:t>
      </w:r>
      <w:r>
        <w:rPr>
          <w:color w:val="212121"/>
        </w:rPr>
        <w:t xml:space="preserve"> </w:t>
      </w:r>
      <w:r w:rsidRPr="00BC3F06">
        <w:rPr>
          <w:color w:val="212121"/>
        </w:rPr>
        <w:t>administration og planlægning. Danmarks Miljøundersøgelser, Aarhus Universitet. – Faglig rapport</w:t>
      </w:r>
      <w:r>
        <w:rPr>
          <w:color w:val="212121"/>
        </w:rPr>
        <w:t xml:space="preserve"> </w:t>
      </w:r>
      <w:r w:rsidRPr="00BC3F06">
        <w:rPr>
          <w:color w:val="212121"/>
        </w:rPr>
        <w:t xml:space="preserve">fra DMU nr. 635. 226 s. </w:t>
      </w:r>
      <w:hyperlink r:id="rId31" w:history="1">
        <w:r w:rsidRPr="0019705D">
          <w:rPr>
            <w:rStyle w:val="Hyperlink"/>
          </w:rPr>
          <w:t>http://www.dmu.dk/Pub/FR635.pdf</w:t>
        </w:r>
      </w:hyperlink>
    </w:p>
    <w:p w:rsidR="00AE77F9" w:rsidRDefault="00AE77F9" w:rsidP="007204E0">
      <w:pPr>
        <w:pStyle w:val="NormalWeb"/>
        <w:shd w:val="clear" w:color="auto" w:fill="FFFFFF"/>
        <w:spacing w:after="240" w:line="252" w:lineRule="atLeast"/>
        <w:ind w:left="567" w:hanging="567"/>
        <w:rPr>
          <w:color w:val="212121"/>
          <w:sz w:val="20"/>
          <w:szCs w:val="20"/>
        </w:rPr>
      </w:pPr>
      <w:r w:rsidRPr="007204E0">
        <w:rPr>
          <w:color w:val="212121"/>
          <w:sz w:val="20"/>
          <w:szCs w:val="20"/>
        </w:rPr>
        <w:t>Søgaard, B., Pihl, S., Wind, P., Clausen, P., Andersen, P.N., Bregnballe, T. &amp; Wiberg-Larsen, P. 2010: Arter 2009. NOVANA. Danmarks Miljøundersøgelser, Aarhus Universitet. 114 s. – Faglig rapport fra DMU nr. 805.  </w:t>
      </w:r>
    </w:p>
    <w:p w:rsidR="009E64E0" w:rsidRPr="00E32655" w:rsidRDefault="009E64E0" w:rsidP="009E64E0">
      <w:pPr>
        <w:pStyle w:val="Brdtekst"/>
        <w:ind w:left="567" w:hanging="567"/>
        <w:rPr>
          <w:lang w:val="en-US"/>
        </w:rPr>
      </w:pPr>
      <w:r>
        <w:t xml:space="preserve">Therkildsen, O.R., Elmeros, M., Kahlert, J. &amp; Desholm, M. (eds.) 2012. </w:t>
      </w:r>
      <w:r w:rsidRPr="00E32655">
        <w:rPr>
          <w:lang w:val="en-US"/>
        </w:rPr>
        <w:t>Baseline investigations of bats and birds at Wind Turbine Test Centre Østerild. Aarhus University, DCE – Danish Centre for Environment and Energy, 128 pp. Scientific Report from DCE – Danish Centre for Environment and Energy No. 28. http://www.dmu.dk/Pub/SR28.pdf</w:t>
      </w:r>
    </w:p>
    <w:sectPr w:rsidR="009E64E0" w:rsidRPr="00E32655" w:rsidSect="00473AE2">
      <w:headerReference w:type="even" r:id="rId32"/>
      <w:headerReference w:type="default" r:id="rId33"/>
      <w:footerReference w:type="even" r:id="rId34"/>
      <w:footerReference w:type="default" r:id="rId35"/>
      <w:headerReference w:type="first" r:id="rId36"/>
      <w:footerReference w:type="first" r:id="rId37"/>
      <w:type w:val="oddPage"/>
      <w:pgSz w:w="11907" w:h="16840" w:code="9"/>
      <w:pgMar w:top="1701" w:right="851" w:bottom="1134" w:left="3119" w:header="851" w:footer="369"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28E" w:rsidRDefault="001D628E">
      <w:r>
        <w:separator/>
      </w:r>
    </w:p>
    <w:p w:rsidR="001D628E" w:rsidRDefault="001D628E"/>
    <w:p w:rsidR="001D628E" w:rsidRDefault="001D628E"/>
  </w:endnote>
  <w:endnote w:type="continuationSeparator" w:id="0">
    <w:p w:rsidR="001D628E" w:rsidRDefault="001D628E">
      <w:r>
        <w:continuationSeparator/>
      </w:r>
    </w:p>
    <w:p w:rsidR="001D628E" w:rsidRDefault="001D628E"/>
    <w:p w:rsidR="001D628E" w:rsidRDefault="001D62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6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anmar Text">
    <w:charset w:val="00"/>
    <w:family w:val="swiss"/>
    <w:pitch w:val="variable"/>
    <w:sig w:usb0="00000003" w:usb1="00000000" w:usb2="00000400" w:usb3="00000000" w:csb0="0000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05D" w:rsidRDefault="0028205D">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05D" w:rsidRPr="00E32655" w:rsidRDefault="0028205D" w:rsidP="007946F8">
    <w:pPr>
      <w:pStyle w:val="FooterEven"/>
      <w:rPr>
        <w:lang w:val="en-US"/>
      </w:rPr>
    </w:pPr>
    <w:r w:rsidRPr="00D07C30">
      <w:fldChar w:fldCharType="begin"/>
    </w:r>
    <w:r w:rsidRPr="00E32655">
      <w:rPr>
        <w:lang w:val="en-US"/>
      </w:rPr>
      <w:instrText xml:space="preserve"> FILENAME \p </w:instrText>
    </w:r>
    <w:r w:rsidRPr="00D07C30">
      <w:fldChar w:fldCharType="separate"/>
    </w:r>
    <w:r w:rsidR="00DA536A" w:rsidRPr="00E32655">
      <w:rPr>
        <w:lang w:val="en-US"/>
      </w:rPr>
      <w:t>C:\Users\ukj\AppData\Local\Microsoft\Windows\Temporary Internet Files\Content.Outlook\5Y7DZXKM\Tåsinge Vindmøller jan15.docx</w:t>
    </w:r>
    <w:r w:rsidRPr="00D07C30">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05D" w:rsidRPr="00E32655" w:rsidRDefault="0028205D" w:rsidP="007946F8">
    <w:pPr>
      <w:pStyle w:val="Sidefod"/>
      <w:rPr>
        <w:lang w:val="en-US"/>
      </w:rPr>
    </w:pPr>
    <w:r w:rsidRPr="00D07C30">
      <w:fldChar w:fldCharType="begin"/>
    </w:r>
    <w:r w:rsidRPr="00E32655">
      <w:rPr>
        <w:lang w:val="en-US"/>
      </w:rPr>
      <w:instrText xml:space="preserve"> FILENAME \p </w:instrText>
    </w:r>
    <w:r w:rsidRPr="00D07C30">
      <w:fldChar w:fldCharType="separate"/>
    </w:r>
    <w:r w:rsidR="00DA536A" w:rsidRPr="00E32655">
      <w:rPr>
        <w:lang w:val="en-US"/>
      </w:rPr>
      <w:t>C:\Users\ukj\AppData\Local\Microsoft\Windows\Temporary Internet Files\Content.Outlook\5Y7DZXKM\Tåsinge Vindmøller jan15.docx</w:t>
    </w:r>
    <w:r w:rsidRPr="00D07C30">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05D" w:rsidRPr="007F4669" w:rsidRDefault="0028205D" w:rsidP="00473AE2">
    <w:pPr>
      <w:pStyle w:val="FooterEven"/>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05D" w:rsidRPr="00E32655" w:rsidRDefault="0028205D" w:rsidP="00473AE2">
    <w:pPr>
      <w:pStyle w:val="Sidefod"/>
      <w:rPr>
        <w:lang w:val="en-US"/>
      </w:rPr>
    </w:pPr>
    <w:r>
      <w:fldChar w:fldCharType="begin"/>
    </w:r>
    <w:r w:rsidRPr="00E32655">
      <w:rPr>
        <w:lang w:val="en-US"/>
      </w:rPr>
      <w:instrText xml:space="preserve"> FILENAME \p </w:instrText>
    </w:r>
    <w:r>
      <w:fldChar w:fldCharType="separate"/>
    </w:r>
    <w:r w:rsidR="00DA536A" w:rsidRPr="00E32655">
      <w:rPr>
        <w:lang w:val="en-US"/>
      </w:rPr>
      <w:t>C:\Users\ukj\AppData\Local\Microsoft\Windows\Temporary Internet Files\Content.Outlook\5Y7DZXKM\Tåsinge Vindmøller jan15.docx</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05D" w:rsidRPr="00E32655" w:rsidRDefault="0028205D" w:rsidP="00473AE2">
    <w:pPr>
      <w:pStyle w:val="Sidefod"/>
      <w:rPr>
        <w:lang w:val="en-US"/>
      </w:rPr>
    </w:pPr>
    <w:r w:rsidRPr="007F4669">
      <w:fldChar w:fldCharType="begin"/>
    </w:r>
    <w:r w:rsidRPr="00E32655">
      <w:rPr>
        <w:lang w:val="en-US"/>
      </w:rPr>
      <w:instrText xml:space="preserve"> FILENAME \p </w:instrText>
    </w:r>
    <w:r w:rsidRPr="007F4669">
      <w:fldChar w:fldCharType="separate"/>
    </w:r>
    <w:r w:rsidR="00DA536A" w:rsidRPr="00E32655">
      <w:rPr>
        <w:lang w:val="en-US"/>
      </w:rPr>
      <w:t>C:\Users\ukj\AppData\Local\Microsoft\Windows\Temporary Internet Files\Content.Outlook\5Y7DZXKM\Tåsinge Vindmøller jan15.docx</w:t>
    </w:r>
    <w:r w:rsidRPr="007F466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28E" w:rsidRDefault="001D628E">
      <w:r>
        <w:separator/>
      </w:r>
    </w:p>
  </w:footnote>
  <w:footnote w:type="continuationSeparator" w:id="0">
    <w:p w:rsidR="001D628E" w:rsidRDefault="001D628E">
      <w:r>
        <w:continuationSeparator/>
      </w:r>
    </w:p>
    <w:p w:rsidR="001D628E" w:rsidRDefault="001D628E"/>
    <w:p w:rsidR="001D628E" w:rsidRDefault="001D628E"/>
  </w:footnote>
  <w:footnote w:id="1">
    <w:p w:rsidR="0028205D" w:rsidRDefault="0028205D">
      <w:pPr>
        <w:pStyle w:val="Fodnotetekst"/>
      </w:pPr>
      <w:r>
        <w:rPr>
          <w:rStyle w:val="Fodnotehenvisning"/>
        </w:rPr>
        <w:footnoteRef/>
      </w:r>
      <w:r>
        <w:t xml:space="preserve"> Bekendtgørelse 408 om udpegning og administration af internationale naturbeskyttelsesområder samt beskyttelse af visse arter, af 1. maj 2007</w:t>
      </w:r>
    </w:p>
  </w:footnote>
  <w:footnote w:id="2">
    <w:p w:rsidR="0028205D" w:rsidRDefault="0028205D">
      <w:pPr>
        <w:pStyle w:val="Fodnotetekst"/>
      </w:pPr>
      <w:r>
        <w:rPr>
          <w:rStyle w:val="Fodnotehenvisning"/>
        </w:rPr>
        <w:footnoteRef/>
      </w:r>
      <w:r>
        <w:t xml:space="preserve"> Bekendtgørelse</w:t>
      </w:r>
      <w:r w:rsidRPr="00137F2C">
        <w:t xml:space="preserve"> 1184</w:t>
      </w:r>
      <w:r w:rsidRPr="00137F2C">
        <w:rPr>
          <w:rStyle w:val="apple-converted-space"/>
          <w:shd w:val="clear" w:color="auto" w:fill="FFFFFF"/>
        </w:rPr>
        <w:t> </w:t>
      </w:r>
      <w:r w:rsidRPr="00137F2C">
        <w:rPr>
          <w:shd w:val="clear" w:color="auto" w:fill="FFFFFF"/>
        </w:rPr>
        <w:t>om vurdering af visse offentlige og private anlægs virkning på miljøet (</w:t>
      </w:r>
      <w:r w:rsidRPr="00137F2C">
        <w:rPr>
          <w:rStyle w:val="Fremhv"/>
          <w:b/>
          <w:bCs/>
          <w:i w:val="0"/>
          <w:iCs w:val="0"/>
          <w:shd w:val="clear" w:color="auto" w:fill="FFFFFF"/>
        </w:rPr>
        <w:t>VVM</w:t>
      </w:r>
      <w:r w:rsidRPr="00137F2C">
        <w:rPr>
          <w:shd w:val="clear" w:color="auto" w:fill="FFFFFF"/>
        </w:rPr>
        <w:t>) i medfør af lov om Planlægning, af 6. november 2014.</w:t>
      </w:r>
    </w:p>
  </w:footnote>
  <w:footnote w:id="3">
    <w:p w:rsidR="0028205D" w:rsidRDefault="0028205D" w:rsidP="00226D89">
      <w:pPr>
        <w:pStyle w:val="Fodnotetekst"/>
      </w:pPr>
      <w:r>
        <w:rPr>
          <w:rStyle w:val="Fodnotehenvisning"/>
        </w:rPr>
        <w:footnoteRef/>
      </w:r>
      <w:r>
        <w:t>Støjgrænse f</w:t>
      </w:r>
      <w:r w:rsidRPr="001A6DBA">
        <w:t>or nabobeboelse i det åbne land: 44 dB (ved 8 m/s) og 42 dB (ved 6 m/s)</w:t>
      </w:r>
      <w:r>
        <w:t xml:space="preserve"> (Vindmøllebekendtgørelse (</w:t>
      </w:r>
      <w:r w:rsidRPr="001A6DBA">
        <w:t>B</w:t>
      </w:r>
      <w:r>
        <w:t xml:space="preserve">ekendtgørelse nr. </w:t>
      </w:r>
      <w:r w:rsidRPr="001A6DBA">
        <w:t xml:space="preserve">1284 </w:t>
      </w:r>
      <w:r>
        <w:t xml:space="preserve">om støj fra vindmøller af </w:t>
      </w:r>
      <w:r w:rsidRPr="001A6DBA">
        <w:t>15</w:t>
      </w:r>
      <w:r>
        <w:t xml:space="preserve">. december </w:t>
      </w:r>
      <w:r w:rsidRPr="001A6DBA">
        <w:t>2011</w:t>
      </w:r>
      <w:r>
        <w:t>))</w:t>
      </w:r>
      <w:r w:rsidRPr="001A6DBA">
        <w:t>.</w:t>
      </w:r>
    </w:p>
  </w:footnote>
  <w:footnote w:id="4">
    <w:p w:rsidR="0028205D" w:rsidRDefault="0028205D" w:rsidP="0001054D">
      <w:pPr>
        <w:pStyle w:val="Fodnotetekst"/>
      </w:pPr>
      <w:r>
        <w:rPr>
          <w:rStyle w:val="Fodnotehenvisning"/>
        </w:rPr>
        <w:footnoteRef/>
      </w:r>
      <w:r>
        <w:t xml:space="preserve"> </w:t>
      </w:r>
      <w:r w:rsidRPr="000D4325">
        <w:t>Rådets direktiv 92/43/EØF af 21. maj 1992 om bevaring af naturtyper samt vilde dyr og planter</w:t>
      </w:r>
    </w:p>
  </w:footnote>
  <w:footnote w:id="5">
    <w:p w:rsidR="0028205D" w:rsidRDefault="0028205D" w:rsidP="0001054D">
      <w:pPr>
        <w:pStyle w:val="Fodnotetekst"/>
      </w:pPr>
      <w:r>
        <w:rPr>
          <w:rStyle w:val="Fodnotehenvisning"/>
        </w:rPr>
        <w:footnoteRef/>
      </w:r>
      <w:r>
        <w:t xml:space="preserve"> </w:t>
      </w:r>
      <w:r w:rsidRPr="008B21C1">
        <w:t>Bekendtgørelse af lov om naturbeskyttelse</w:t>
      </w:r>
      <w:r>
        <w:t xml:space="preserve"> </w:t>
      </w:r>
      <w:r w:rsidRPr="008B21C1">
        <w:t>nr</w:t>
      </w:r>
      <w:r>
        <w:t>.</w:t>
      </w:r>
      <w:r w:rsidRPr="008B21C1">
        <w:t xml:space="preserve"> 951 af 03/07/2013</w:t>
      </w:r>
    </w:p>
  </w:footnote>
  <w:footnote w:id="6">
    <w:p w:rsidR="0028205D" w:rsidRDefault="0028205D" w:rsidP="0001054D">
      <w:pPr>
        <w:pStyle w:val="Fodnotetekst"/>
      </w:pPr>
      <w:r>
        <w:rPr>
          <w:rStyle w:val="Fodnotehenvisning"/>
        </w:rPr>
        <w:footnoteRef/>
      </w:r>
      <w:r>
        <w:t xml:space="preserve"> Definitionerne er fra ”Bemærkninger til lovforslaget” for Lovforslag nr. L153, Forslag til lov om ændring af lov om naturbeskyttelse, lov om jagt og vildtforvaltning og forskellige andre love (Beskyttelse af visse dyrearter m.m.) fremsat 26. februar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05D" w:rsidRDefault="0028205D">
    <w:pPr>
      <w:pStyle w:val="Sidehoved"/>
    </w:pPr>
    <w:r>
      <w:rPr>
        <w:noProof/>
      </w:rPr>
      <mc:AlternateContent>
        <mc:Choice Requires="wpg">
          <w:drawing>
            <wp:anchor distT="0" distB="0" distL="114300" distR="114300" simplePos="0" relativeHeight="251659776" behindDoc="0" locked="0" layoutInCell="1" allowOverlap="1" wp14:anchorId="0E4955FE" wp14:editId="2E74A979">
              <wp:simplePos x="0" y="0"/>
              <wp:positionH relativeFrom="page">
                <wp:align>center</wp:align>
              </wp:positionH>
              <wp:positionV relativeFrom="margin">
                <wp:align>bottom</wp:align>
              </wp:positionV>
              <wp:extent cx="6648450" cy="7353300"/>
              <wp:effectExtent l="0" t="0" r="0" b="0"/>
              <wp:wrapNone/>
              <wp:docPr id="9" name="Group 9" descr="COWI Cover Origami"/>
              <wp:cNvGraphicFramePr/>
              <a:graphic xmlns:a="http://schemas.openxmlformats.org/drawingml/2006/main">
                <a:graphicData uri="http://schemas.microsoft.com/office/word/2010/wordprocessingGroup">
                  <wpg:wgp>
                    <wpg:cNvGrpSpPr/>
                    <wpg:grpSpPr>
                      <a:xfrm>
                        <a:off x="0" y="0"/>
                        <a:ext cx="6648450" cy="7353300"/>
                        <a:chOff x="0" y="0"/>
                        <a:chExt cx="6642101" cy="7346951"/>
                      </a:xfrm>
                    </wpg:grpSpPr>
                    <wps:wsp>
                      <wps:cNvPr id="1" name="P1"/>
                      <wps:cNvSpPr/>
                      <wps:spPr>
                        <a:xfrm>
                          <a:off x="0" y="0"/>
                          <a:ext cx="3721101" cy="1841501"/>
                        </a:xfrm>
                        <a:custGeom>
                          <a:avLst/>
                          <a:gdLst/>
                          <a:ahLst/>
                          <a:cxnLst/>
                          <a:rect l="0" t="0" r="0" b="0"/>
                          <a:pathLst>
                            <a:path w="3721101" h="1841501">
                              <a:moveTo>
                                <a:pt x="0" y="0"/>
                              </a:moveTo>
                              <a:lnTo>
                                <a:pt x="3708400" y="647700"/>
                              </a:lnTo>
                              <a:lnTo>
                                <a:pt x="3721100" y="660400"/>
                              </a:lnTo>
                              <a:lnTo>
                                <a:pt x="2692400" y="1841500"/>
                              </a:lnTo>
                              <a:lnTo>
                                <a:pt x="2679700" y="1828800"/>
                              </a:lnTo>
                              <a:close/>
                            </a:path>
                          </a:pathLst>
                        </a:custGeom>
                        <a:gradFill flip="none" rotWithShape="1">
                          <a:gsLst>
                            <a:gs pos="0">
                              <a:srgbClr val="E6E6E6"/>
                            </a:gs>
                            <a:gs pos="100000">
                              <a:srgbClr val="E6E6E6">
                                <a:tint val="30000"/>
                              </a:srgbClr>
                            </a:gs>
                          </a:gsLst>
                          <a:lin ang="16200000" scaled="1"/>
                          <a:tileRect/>
                        </a:gradFill>
                        <a:ln w="0" cap="flat" cmpd="sng" algn="ctr">
                          <a:noFill/>
                          <a:prstDash val="solid"/>
                          <a:round/>
                          <a:headEnd type="none" w="med" len="med"/>
                          <a:tailEnd type="none" w="med" len="med"/>
                        </a:ln>
                        <a:effectLst/>
                        <a:extLst>
                          <a:ext uri="{91240B29-F687-4F45-9708-019B960494DF}">
                            <a14:hiddenLine xmlns:a14="http://schemas.microsoft.com/office/drawing/2010/main" w="0" cap="flat" cmpd="sng" algn="ctr">
                              <a:solidFill>
                                <a:schemeClr val="accent1">
                                  <a:shade val="50000"/>
                                </a:schemeClr>
                              </a:solidFill>
                              <a:prstDash val="solid"/>
                              <a:round/>
                              <a:headEnd type="none" w="med" len="med"/>
                              <a:tailEnd type="none" w="med" len="med"/>
                            </a14:hiddenLine>
                          </a:ext>
                        </a:extLst>
                      </wps:spPr>
                      <wps:style>
                        <a:lnRef idx="2">
                          <a:schemeClr val="accent1">
                            <a:shade val="50000"/>
                          </a:schemeClr>
                        </a:lnRef>
                        <a:fillRef idx="1">
                          <a:schemeClr val="accent1"/>
                        </a:fillRef>
                        <a:effectRef idx="0">
                          <a:schemeClr val="accent1"/>
                        </a:effectRef>
                        <a:fontRef idx="minor">
                          <a:schemeClr val="lt1"/>
                        </a:fontRef>
                      </wps:style>
                      <wps:bodyPr/>
                    </wps:wsp>
                    <wps:wsp>
                      <wps:cNvPr id="2" name="P2"/>
                      <wps:cNvSpPr/>
                      <wps:spPr>
                        <a:xfrm>
                          <a:off x="1981200" y="647700"/>
                          <a:ext cx="1714501" cy="3784601"/>
                        </a:xfrm>
                        <a:custGeom>
                          <a:avLst/>
                          <a:gdLst/>
                          <a:ahLst/>
                          <a:cxnLst/>
                          <a:rect l="0" t="0" r="0" b="0"/>
                          <a:pathLst>
                            <a:path w="1714501" h="3784601">
                              <a:moveTo>
                                <a:pt x="1714500" y="0"/>
                              </a:moveTo>
                              <a:lnTo>
                                <a:pt x="342900" y="3771900"/>
                              </a:lnTo>
                              <a:lnTo>
                                <a:pt x="355600" y="3784600"/>
                              </a:lnTo>
                              <a:lnTo>
                                <a:pt x="12700" y="1981200"/>
                              </a:lnTo>
                              <a:lnTo>
                                <a:pt x="0" y="1968500"/>
                              </a:lnTo>
                              <a:close/>
                            </a:path>
                          </a:pathLst>
                        </a:custGeom>
                        <a:gradFill flip="none" rotWithShape="1">
                          <a:gsLst>
                            <a:gs pos="0">
                              <a:srgbClr val="E6E6E6"/>
                            </a:gs>
                            <a:gs pos="100000">
                              <a:srgbClr val="E6E6E6">
                                <a:tint val="60000"/>
                              </a:srgbClr>
                            </a:gs>
                          </a:gsLst>
                          <a:lin ang="16200000" scaled="1"/>
                          <a:tileRect/>
                        </a:gradFill>
                        <a:ln w="0" cap="flat" cmpd="sng" algn="ctr">
                          <a:noFill/>
                          <a:prstDash val="solid"/>
                          <a:round/>
                          <a:headEnd type="none" w="med" len="med"/>
                          <a:tailEnd type="none" w="med" len="med"/>
                        </a:ln>
                        <a:effectLst/>
                        <a:extLst>
                          <a:ext uri="{91240B29-F687-4F45-9708-019B960494DF}">
                            <a14:hiddenLine xmlns:a14="http://schemas.microsoft.com/office/drawing/2010/main" w="0" cap="flat" cmpd="sng" algn="ctr">
                              <a:solidFill>
                                <a:schemeClr val="accent1">
                                  <a:shade val="50000"/>
                                </a:schemeClr>
                              </a:solidFill>
                              <a:prstDash val="solid"/>
                              <a:round/>
                              <a:headEnd type="none" w="med" len="med"/>
                              <a:tailEnd type="none" w="med" len="med"/>
                            </a14:hiddenLine>
                          </a:ext>
                        </a:extLst>
                      </wps:spPr>
                      <wps:style>
                        <a:lnRef idx="2">
                          <a:schemeClr val="accent1">
                            <a:shade val="50000"/>
                          </a:schemeClr>
                        </a:lnRef>
                        <a:fillRef idx="1">
                          <a:schemeClr val="accent1"/>
                        </a:fillRef>
                        <a:effectRef idx="0">
                          <a:schemeClr val="accent1"/>
                        </a:effectRef>
                        <a:fontRef idx="minor">
                          <a:schemeClr val="lt1"/>
                        </a:fontRef>
                      </wps:style>
                      <wps:bodyPr/>
                    </wps:wsp>
                    <wps:wsp>
                      <wps:cNvPr id="4" name="P3"/>
                      <wps:cNvSpPr/>
                      <wps:spPr>
                        <a:xfrm>
                          <a:off x="3695700" y="171450"/>
                          <a:ext cx="2946401" cy="1968501"/>
                        </a:xfrm>
                        <a:custGeom>
                          <a:avLst/>
                          <a:gdLst/>
                          <a:ahLst/>
                          <a:cxnLst/>
                          <a:rect l="0" t="0" r="0" b="0"/>
                          <a:pathLst>
                            <a:path w="2946401" h="1968501">
                              <a:moveTo>
                                <a:pt x="2946400" y="0"/>
                              </a:moveTo>
                              <a:lnTo>
                                <a:pt x="2400300" y="1955800"/>
                              </a:lnTo>
                              <a:lnTo>
                                <a:pt x="2400300" y="1968500"/>
                              </a:lnTo>
                              <a:lnTo>
                                <a:pt x="0" y="482600"/>
                              </a:lnTo>
                              <a:lnTo>
                                <a:pt x="0" y="469900"/>
                              </a:lnTo>
                              <a:close/>
                            </a:path>
                          </a:pathLst>
                        </a:custGeom>
                        <a:gradFill flip="none" rotWithShape="1">
                          <a:gsLst>
                            <a:gs pos="0">
                              <a:srgbClr val="EBEBEB"/>
                            </a:gs>
                            <a:gs pos="100000">
                              <a:srgbClr val="EBEBEB">
                                <a:tint val="10000"/>
                              </a:srgbClr>
                            </a:gs>
                          </a:gsLst>
                          <a:lin ang="0" scaled="1"/>
                          <a:tileRect/>
                        </a:gradFill>
                        <a:ln w="0" cap="flat" cmpd="sng" algn="ctr">
                          <a:noFill/>
                          <a:prstDash val="solid"/>
                          <a:round/>
                          <a:headEnd type="none" w="med" len="med"/>
                          <a:tailEnd type="none" w="med" len="med"/>
                        </a:ln>
                        <a:effectLst/>
                        <a:extLst>
                          <a:ext uri="{91240B29-F687-4F45-9708-019B960494DF}">
                            <a14:hiddenLine xmlns:a14="http://schemas.microsoft.com/office/drawing/2010/main" w="0" cap="flat" cmpd="sng" algn="ctr">
                              <a:solidFill>
                                <a:schemeClr val="accent1">
                                  <a:shade val="50000"/>
                                </a:schemeClr>
                              </a:solidFill>
                              <a:prstDash val="solid"/>
                              <a:round/>
                              <a:headEnd type="none" w="med" len="med"/>
                              <a:tailEnd type="none" w="med" len="med"/>
                            </a14:hiddenLine>
                          </a:ext>
                        </a:extLst>
                      </wps:spPr>
                      <wps:style>
                        <a:lnRef idx="2">
                          <a:schemeClr val="accent1">
                            <a:shade val="50000"/>
                          </a:schemeClr>
                        </a:lnRef>
                        <a:fillRef idx="1">
                          <a:schemeClr val="accent1"/>
                        </a:fillRef>
                        <a:effectRef idx="0">
                          <a:schemeClr val="accent1"/>
                        </a:effectRef>
                        <a:fontRef idx="minor">
                          <a:schemeClr val="lt1"/>
                        </a:fontRef>
                      </wps:style>
                      <wps:bodyPr/>
                    </wps:wsp>
                    <wps:wsp>
                      <wps:cNvPr id="5" name="T1"/>
                      <wps:cNvSpPr/>
                      <wps:spPr>
                        <a:xfrm>
                          <a:off x="1263650" y="641350"/>
                          <a:ext cx="5105401" cy="6705601"/>
                        </a:xfrm>
                        <a:custGeom>
                          <a:avLst/>
                          <a:gdLst/>
                          <a:ahLst/>
                          <a:cxnLst/>
                          <a:rect l="0" t="0" r="0" b="0"/>
                          <a:pathLst>
                            <a:path w="5105401" h="6705601">
                              <a:moveTo>
                                <a:pt x="2438400" y="0"/>
                              </a:moveTo>
                              <a:lnTo>
                                <a:pt x="5105400" y="1651000"/>
                              </a:lnTo>
                              <a:lnTo>
                                <a:pt x="0" y="6705600"/>
                              </a:lnTo>
                              <a:close/>
                            </a:path>
                          </a:pathLst>
                        </a:custGeom>
                        <a:gradFill flip="none" rotWithShape="1">
                          <a:gsLst>
                            <a:gs pos="0">
                              <a:srgbClr val="D7D7D7"/>
                            </a:gs>
                            <a:gs pos="100000">
                              <a:srgbClr val="D7D7D7">
                                <a:tint val="10000"/>
                              </a:srgbClr>
                            </a:gs>
                          </a:gsLst>
                          <a:lin ang="5400000" scaled="1"/>
                          <a:tileRect/>
                        </a:gradFill>
                        <a:ln w="0" cap="flat" cmpd="sng" algn="ctr">
                          <a:noFill/>
                          <a:prstDash val="solid"/>
                          <a:round/>
                          <a:headEnd type="none" w="med" len="med"/>
                          <a:tailEnd type="none" w="med" len="med"/>
                        </a:ln>
                        <a:effectLst/>
                        <a:extLst>
                          <a:ext uri="{91240B29-F687-4F45-9708-019B960494DF}">
                            <a14:hiddenLine xmlns:a14="http://schemas.microsoft.com/office/drawing/2010/main" w="0" cap="flat" cmpd="sng" algn="ctr">
                              <a:solidFill>
                                <a:schemeClr val="accent1">
                                  <a:shade val="50000"/>
                                </a:schemeClr>
                              </a:solidFill>
                              <a:prstDash val="solid"/>
                              <a:round/>
                              <a:headEnd type="none" w="med" len="med"/>
                              <a:tailEnd type="none" w="med" len="med"/>
                            </a14:hiddenLine>
                          </a:ext>
                        </a:extLst>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58BACD29" id="Group 9" o:spid="_x0000_s1026" alt="COWI Cover Origami" style="position:absolute;margin-left:0;margin-top:0;width:523.5pt;height:579pt;z-index:251659776;mso-position-horizontal:center;mso-position-horizontal-relative:page;mso-position-vertical:bottom;mso-position-vertical-relative:margin" coordsize="66421,7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5pcgUAAOoeAAAOAAAAZHJzL2Uyb0RvYy54bWzsWW1r20gQ/n5w/0Hoe2Kt3mXiFPJWDsql&#10;tD36eSutXkDSCu0mTjjuv9/MvjmOc6nTcgkFxxCtrJnZmWdG82jkk3d3Q+/dsll0fFz55DjwPTaW&#10;vOrGZuX/9eXqKPc9IelY0Z6PbOXfM+G/O/39t5P1tGQhb3lfsdkDI6NYrqeV30o5LRcLUbZsoOKY&#10;T2yEizWfByrhdG4W1UzXYH3oF2EQpIs1n6tp5iUTAr690Bf9U2W/rlkpr+taMOn1Kx98k+r/rP5/&#10;w/+L0xO6bGY6tV1p3KA/4MVAuxE2daYuqKTezdztmBq6cuaC1/K45MOC13VXMhUDREOCR9G8n/nN&#10;pGJplutmcjABtI9w+mGz5Z+3H2evq1Z+4XsjHSBFalcPTismSoDq/PrrH945hyR713PX0KFD1NZT&#10;swTl9/P0efo4my8afYZA3NXzgEcI0btTeN87vNmd9Er4Mk3jPE4gLSVcy6IkigKTkbKFtO3ole3l&#10;RjMkAbGacVokBL1a2I0X6J9zZz1BdYkNgOLnAPzc0ompvAjEwAAI3mgAPypXcE+46NARSwFA7QtN&#10;lIXEBUjymCQQ7cMA6bK8EfI94wplevtBSLgMBVjZFW3tqrwb7XKGO+LZe2GiEvXQFC699cp3vrRw&#10;hxtX8PoANfGFK0n5KFeQh83VfnwoFWVBHkOePch5GmeZTjkoWDF7nJRRvbkRTwPU1DBYMXvU4mFa&#10;hNa69vV78lmBLqA3JA/zfMd+2XPB9JYIiKoxBxK4/TAN0Eiqq67vvbrvoJmN0PJ8b+byaydbVTSw&#10;iW4TwmDcCG/iUI6B+lrMzbfzfvZuKbSryxQ/JtpGqOQaaRLg33+qoKjsRqntwE3lgjIbqCDQJPjf&#10;WFf6bvQotm2SQmdFHU+UtGfQG1Tpoc2efYIC0mjYYHG3fsRCAY2SQtx1TyUshwlUxdj4Hu0bYIdS&#10;zsrlkSNGYARKbBbygopWeyp431UYMF1C5xsrtWoZrS7HypP3EzQnDSnsNbDK93oGZnGlJCXt+n0k&#10;Va3hJkwRhL01oCuZpGB/Us3774JANZ2FxdFVmmdH8VWcHEG55EcBKc4KqMYivrj6B4Mi8bLtqoqN&#10;H7qRWSIh8X59xlCapgBFJS9AU4GGgGJEijeZKyFalmyUuuRESyumcU5UdgEzQMJp6DPMgDX2RsnZ&#10;glJ5BfmwR5UhaO62m6qVvO8ZRt+Pn1gNZAbUEuqbAx8jfgIOZRAt14Cvs23wfNq2RtXIo6ouMqds&#10;7trnlJ2G2pmP0ikP3cj1PeTSpjPaQ5LNzloe8HoADS6/8epeEbW6AGyIHP4KtBg6WgzRRdxzL1ok&#10;RU6gDz3iCcDTPAKQjMCzg3kEiLI8Tt+OIZ0vwJDWFUzehgM1O2k5HZPlpY3MNpNFcViY8KMsI7jW&#10;GbZi9mh4MklSJ45gPC9OQsd6BufnjGuPSZHm0DoeufHL8yNA5YI68KMtg03rOvCjopADP+4+Lhz4&#10;8SXj/NNjY+z4MXoRP0Yw87oerrgQ1Tf8GBZxGlt+1K3bPiPY2fzh6PK/TpDOF5wgFYvoZ6gN95np&#10;Tfm8Hz/imIfvC9TkViTJ7uS2TZDb8k8x2ba8thzn4feo1AimxS5Fvx03nl3CxzD1nrOjVsES2syO&#10;atA0ZvbiRgDjMDQehsZXn+gPQ6N6lwGTIt7A9a8+NCaWFL8oztp/aAzTKMU3yurlIolguUWKCQkS&#10;R4ppFsDM9Gak6HwBUrSuYPJ2SDGO3AtTO3xtZLZJS9vU8ZMUztxkY+XsUROuQUoBYW1biTcjr4sM&#10;Py8iL6Pyk+QFpaFmwQOFHd57vv5L6QOFvRaFqR8H4QdVNdKbH3/xF9uH5+oF6uYn6tN/AQAA//8D&#10;AFBLAwQUAAYACAAAACEAq+o3Kt0AAAAHAQAADwAAAGRycy9kb3ducmV2LnhtbEyPQUvDQBCF74L/&#10;YRnBm92NWi0xm1KKeipCW6H0Ns1Ok9DsbMhuk/Tfu/Wil2Eeb3jzvWw+2kb01PnasYZkokAQF87U&#10;XGr43n48zED4gGywcUwaLuRhnt/eZJgaN/Ca+k0oRQxhn6KGKoQ2ldIXFVn0E9cSR+/oOoshyq6U&#10;psMhhttGPir1Ii3WHD9U2NKyouK0OVsNnwMOi6fkvV+djsvLfjv92q0S0vr+bly8gQg0hr9juOJH&#10;dMgj08Gd2XjRaIhFwu+8eur5NepD3JLpTIHMM/mfP/8BAAD//wMAUEsBAi0AFAAGAAgAAAAhALaD&#10;OJL+AAAA4QEAABMAAAAAAAAAAAAAAAAAAAAAAFtDb250ZW50X1R5cGVzXS54bWxQSwECLQAUAAYA&#10;CAAAACEAOP0h/9YAAACUAQAACwAAAAAAAAAAAAAAAAAvAQAAX3JlbHMvLnJlbHNQSwECLQAUAAYA&#10;CAAAACEAIiY+aXIFAADqHgAADgAAAAAAAAAAAAAAAAAuAgAAZHJzL2Uyb0RvYy54bWxQSwECLQAU&#10;AAYACAAAACEAq+o3Kt0AAAAHAQAADwAAAAAAAAAAAAAAAADMBwAAZHJzL2Rvd25yZXYueG1sUEsF&#10;BgAAAAAEAAQA8wAAANYIAAAAAA==&#10;">
              <v:shape id="P1" o:spid="_x0000_s1027" style="position:absolute;width:37211;height:18415;visibility:visible;mso-wrap-style:square;v-text-anchor:top" coordsize="3721101,184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Kn8IA&#10;AADaAAAADwAAAGRycy9kb3ducmV2LnhtbERP22rCQBB9F/yHZQTf6kYRLamr1BsogqVRKH0bstMk&#10;mp0N2VXj37tCwafhcK4zmTWmFFeqXWFZQb8XgSBOrS44U3A8rN/eQTiPrLG0TAru5GA2bbcmGGt7&#10;42+6Jj4TIYRdjApy76tYSpfmZND1bEUcuD9bG/QB1pnUNd5CuCnlIIpG0mDBoSHHihY5pefkYhT8&#10;rN14efw9JF/z7WlbDLPVbrmPlOp2ms8PEJ4a/xL/uzc6zIfnK88r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sqfwgAAANoAAAAPAAAAAAAAAAAAAAAAAJgCAABkcnMvZG93&#10;bnJldi54bWxQSwUGAAAAAAQABAD1AAAAhwMAAAAA&#10;" path="m,l3708400,647700r12700,12700l2692400,1841500r-12700,-12700l,xe" fillcolor="#e6e6e6" stroked="f" strokecolor="#3f3b37 [1604]" strokeweight="0">
                <v:fill color2="#f8f8f8" rotate="t" angle="180" focus="100%" type="gradient"/>
                <v:path arrowok="t" textboxrect="0,0,3721101,1841501"/>
              </v:shape>
              <v:shape id="P2" o:spid="_x0000_s1028" style="position:absolute;left:19812;top:6477;width:17145;height:37846;visibility:visible;mso-wrap-style:square;v-text-anchor:top" coordsize="1714501,378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rp8MA&#10;AADaAAAADwAAAGRycy9kb3ducmV2LnhtbESPQWvCQBSE70L/w/IKXkQ3CpUaXaWUCOqtseD1mX1N&#10;gtm36e6q0V/fFQoeh5n5hlmsOtOICzlfW1YwHiUgiAuray4VfO/Xw3cQPiBrbCyTght5WC1fegtM&#10;tb3yF13yUIoIYZ+igiqENpXSFxUZ9CPbEkfvxzqDIUpXSu3wGuGmkZMkmUqDNceFClv6rKg45Wej&#10;4PCbZ8fZINHb9Wl6391n2ZvLMqX6r93HHESgLjzD/+2NVjCBx5V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Qrp8MAAADaAAAADwAAAAAAAAAAAAAAAACYAgAAZHJzL2Rv&#10;d25yZXYueG1sUEsFBgAAAAAEAAQA9QAAAIgDAAAAAA==&#10;" path="m1714500,l342900,3771900r12700,12700l12700,1981200,,1968500,1714500,xe" fillcolor="#e6e6e6" stroked="f" strokecolor="#3f3b37 [1604]" strokeweight="0">
                <v:fill color2="#f0f0f0" rotate="t" angle="180" focus="100%" type="gradient"/>
                <v:path arrowok="t" textboxrect="0,0,1714501,3784601"/>
              </v:shape>
              <v:shape id="P3" o:spid="_x0000_s1029" style="position:absolute;left:36957;top:1714;width:29464;height:19685;visibility:visible;mso-wrap-style:square;v-text-anchor:top" coordsize="2946401,1968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gYsUA&#10;AADaAAAADwAAAGRycy9kb3ducmV2LnhtbESP3WoCMRSE7wXfIRzBO822+MdqlFYQpEVKVwUvD5vT&#10;3bWbkzVJddunN4VCL4eZ+YZZrFpTiys5X1lW8DBMQBDnVldcKDjsN4MZCB+QNdaWScE3eVgtu50F&#10;ptre+J2uWShEhLBPUUEZQpNK6fOSDPqhbYij92GdwRClK6R2eItwU8vHJJlIgxXHhRIbWpeUf2Zf&#10;RsHPSb6cs101Or+Nn6c8vbhjs31Vqt9rn+YgArXhP/zX3moFI/i9Em+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WBixQAAANoAAAAPAAAAAAAAAAAAAAAAAJgCAABkcnMv&#10;ZG93bnJldi54bWxQSwUGAAAAAAQABAD1AAAAigMAAAAA&#10;" path="m2946400,l2400300,1955800r,12700l,482600,,469900,2946400,xe" fillcolor="#ebebeb" stroked="f" strokecolor="#3f3b37 [1604]" strokeweight="0">
                <v:fill color2="#fdfdfd" rotate="t" angle="90" focus="100%" type="gradient"/>
                <v:path arrowok="t" textboxrect="0,0,2946401,1968501"/>
              </v:shape>
              <v:shape id="T1" o:spid="_x0000_s1030" style="position:absolute;left:12636;top:6413;width:51054;height:67056;visibility:visible;mso-wrap-style:square;v-text-anchor:top" coordsize="5105401,6705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NssUA&#10;AADaAAAADwAAAGRycy9kb3ducmV2LnhtbESPQWvCQBSE74L/YXlCb7qxRZHUVSRQkUKDjVLo7ZF9&#10;TUKyb9PsVrf/visIPQ4z8w2z3gbTiQsNrrGsYD5LQBCXVjdcKTifXqYrEM4ja+wsk4JfcrDdjEdr&#10;TLW98jtdCl+JCGGXooLa+z6V0pU1GXQz2xNH78sOBn2UQyX1gNcIN518TJKlNNhwXKixp6ymsi1+&#10;jIJ89d3m4Wm/D0W+KD5eD9nn27FR6mESds8gPAX/H763D1rBAm5X4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o2yxQAAANoAAAAPAAAAAAAAAAAAAAAAAJgCAABkcnMv&#10;ZG93bnJldi54bWxQSwUGAAAAAAQABAD1AAAAigMAAAAA&#10;" path="m2438400,l5105400,1651000,,6705600,2438400,xe" fillcolor="#d7d7d7" stroked="f" strokecolor="#3f3b37 [1604]" strokeweight="0">
                <v:fill color2="#fbfbfb" rotate="t" focus="100%" type="gradient"/>
                <v:path arrowok="t" textboxrect="0,0,5105401,6705601"/>
              </v:shape>
              <w10:wrap anchorx="page"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05D" w:rsidRDefault="0028205D" w:rsidP="00594CFB">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05D" w:rsidRPr="00D07C30" w:rsidRDefault="0028205D" w:rsidP="0049188B">
    <w:pPr>
      <w:pStyle w:val="HeaderEven"/>
    </w:pPr>
    <w:r w:rsidRPr="00D07C30">
      <w:tab/>
    </w:r>
    <w:r w:rsidRPr="00D07C30">
      <w:rPr>
        <w:noProof/>
      </w:rPr>
      <w:drawing>
        <wp:inline distT="0" distB="0" distL="0" distR="0" wp14:anchorId="4C964346" wp14:editId="3B9FB6BC">
          <wp:extent cx="237600" cy="7200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r w:rsidRPr="00D07C30">
      <w:t xml:space="preserve"> </w:t>
    </w:r>
  </w:p>
  <w:p w:rsidR="0028205D" w:rsidRPr="00D07C30" w:rsidRDefault="0028205D" w:rsidP="00F22502">
    <w:pPr>
      <w:pStyle w:val="HeaderEven"/>
    </w:pPr>
    <w:r w:rsidRPr="00D07C30">
      <w:fldChar w:fldCharType="begin"/>
    </w:r>
    <w:r w:rsidRPr="00D07C30">
      <w:instrText xml:space="preserve"> PAGE </w:instrText>
    </w:r>
    <w:r w:rsidRPr="00D07C30">
      <w:fldChar w:fldCharType="separate"/>
    </w:r>
    <w:r w:rsidR="00E32655">
      <w:rPr>
        <w:noProof/>
      </w:rPr>
      <w:t>4</w:t>
    </w:r>
    <w:r w:rsidRPr="00D07C30">
      <w:fldChar w:fldCharType="end"/>
    </w:r>
    <w:r w:rsidRPr="00D07C30">
      <w:tab/>
    </w:r>
    <w:r>
      <w:t>Foreløbig konsekvensvurdering af udskiftning af vindmøllerne ved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05D" w:rsidRPr="00D07C30" w:rsidRDefault="0028205D" w:rsidP="005B6DF2">
    <w:pPr>
      <w:pStyle w:val="HeaderIndent"/>
    </w:pPr>
    <w:r w:rsidRPr="00D07C30">
      <w:t xml:space="preserve"> </w:t>
    </w:r>
    <w:r w:rsidRPr="00D07C30">
      <w:rPr>
        <w:noProof/>
      </w:rPr>
      <w:drawing>
        <wp:inline distT="0" distB="0" distL="0" distR="0" wp14:anchorId="7932301F" wp14:editId="156D0FB3">
          <wp:extent cx="237600" cy="7200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p>
  <w:p w:rsidR="0028205D" w:rsidRPr="00D07C30" w:rsidRDefault="0028205D" w:rsidP="00594CFB">
    <w:pPr>
      <w:pStyle w:val="HeaderFrame"/>
      <w:framePr w:wrap="around"/>
    </w:pPr>
    <w:r w:rsidRPr="00D07C30">
      <w:fldChar w:fldCharType="begin"/>
    </w:r>
    <w:r w:rsidRPr="00D07C30">
      <w:instrText xml:space="preserve"> PAGE </w:instrText>
    </w:r>
    <w:r w:rsidRPr="00D07C30">
      <w:fldChar w:fldCharType="separate"/>
    </w:r>
    <w:r w:rsidR="00E32655">
      <w:rPr>
        <w:noProof/>
      </w:rPr>
      <w:t>5</w:t>
    </w:r>
    <w:r w:rsidRPr="00D07C30">
      <w:fldChar w:fldCharType="end"/>
    </w:r>
  </w:p>
  <w:p w:rsidR="0028205D" w:rsidRPr="00D07C30" w:rsidRDefault="0028205D" w:rsidP="005B6DF2">
    <w:pPr>
      <w:pStyle w:val="HeaderIndent"/>
    </w:pPr>
    <w:r>
      <w:t>Foreløbig konsekvensvurdering af udskiftning af vindmøllerne ved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05D" w:rsidRDefault="0028205D" w:rsidP="00594CFB">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05D" w:rsidRDefault="0028205D" w:rsidP="00473AE2">
    <w:pPr>
      <w:pStyle w:val="HeaderEven"/>
    </w:pPr>
    <w:r>
      <w:tab/>
    </w:r>
    <w:r>
      <w:rPr>
        <w:noProof/>
      </w:rPr>
      <w:drawing>
        <wp:inline distT="0" distB="0" distL="0" distR="0" wp14:anchorId="13FFF203" wp14:editId="5CF42877">
          <wp:extent cx="237600" cy="7200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p>
  <w:p w:rsidR="0028205D" w:rsidRDefault="0028205D" w:rsidP="00473AE2">
    <w:pPr>
      <w:pStyle w:val="HeaderEven"/>
    </w:pPr>
    <w:r>
      <w:fldChar w:fldCharType="begin"/>
    </w:r>
    <w:r>
      <w:instrText xml:space="preserve"> PAGE </w:instrText>
    </w:r>
    <w:r>
      <w:fldChar w:fldCharType="separate"/>
    </w:r>
    <w:r w:rsidR="00E32655">
      <w:rPr>
        <w:noProof/>
      </w:rPr>
      <w:t>24</w:t>
    </w:r>
    <w:r>
      <w:rPr>
        <w:noProof/>
      </w:rPr>
      <w:fldChar w:fldCharType="end"/>
    </w:r>
    <w:r>
      <w:t>/</w:t>
    </w:r>
    <w:fldSimple w:instr=" NUMPAGES ">
      <w:r w:rsidR="00E32655">
        <w:rPr>
          <w:noProof/>
        </w:rPr>
        <w:t>26</w:t>
      </w:r>
    </w:fldSimple>
    <w:r>
      <w:tab/>
      <w:t>Natura 2000-konsekvensvurdering for vindmøllerne ved Skiftekær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05D" w:rsidRDefault="0028205D" w:rsidP="00473AE2">
    <w:pPr>
      <w:pStyle w:val="HeaderIndent"/>
    </w:pPr>
    <w:r>
      <w:rPr>
        <w:noProof/>
      </w:rPr>
      <w:drawing>
        <wp:inline distT="0" distB="0" distL="0" distR="0" wp14:anchorId="1DC15318" wp14:editId="1C9D8ED8">
          <wp:extent cx="237600" cy="7200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p>
  <w:p w:rsidR="0028205D" w:rsidRDefault="0028205D" w:rsidP="00473AE2">
    <w:pPr>
      <w:pStyle w:val="HeaderFrame"/>
      <w:framePr w:wrap="around"/>
    </w:pPr>
    <w:r>
      <w:fldChar w:fldCharType="begin"/>
    </w:r>
    <w:r>
      <w:instrText xml:space="preserve"> Page </w:instrText>
    </w:r>
    <w:r>
      <w:fldChar w:fldCharType="separate"/>
    </w:r>
    <w:r w:rsidR="00E32655">
      <w:rPr>
        <w:noProof/>
      </w:rPr>
      <w:t>25</w:t>
    </w:r>
    <w:r>
      <w:fldChar w:fldCharType="end"/>
    </w:r>
    <w:r>
      <w:t>/</w:t>
    </w:r>
    <w:fldSimple w:instr=" NumPages ">
      <w:r w:rsidR="00E32655">
        <w:rPr>
          <w:noProof/>
        </w:rPr>
        <w:t>26</w:t>
      </w:r>
    </w:fldSimple>
  </w:p>
  <w:p w:rsidR="0028205D" w:rsidRDefault="0028205D" w:rsidP="00473AE2">
    <w:pPr>
      <w:pStyle w:val="HeaderIndent"/>
    </w:pPr>
    <w:r>
      <w:t>Natura 2000-konsekvensvurdering for vindmøllerne ved Skiftekær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05D" w:rsidRDefault="0028205D">
    <w:pPr>
      <w:pStyle w:val="Sidehoved"/>
    </w:pPr>
    <w:r>
      <w:rPr>
        <w:noProof/>
      </w:rPr>
      <mc:AlternateContent>
        <mc:Choice Requires="wpg">
          <w:drawing>
            <wp:anchor distT="0" distB="0" distL="114300" distR="114300" simplePos="0" relativeHeight="251658752" behindDoc="1" locked="0" layoutInCell="1" allowOverlap="1" wp14:anchorId="637DC71D" wp14:editId="6B4C8AC9">
              <wp:simplePos x="0" y="0"/>
              <wp:positionH relativeFrom="page">
                <wp:align>right</wp:align>
              </wp:positionH>
              <wp:positionV relativeFrom="page">
                <wp:align>bottom</wp:align>
              </wp:positionV>
              <wp:extent cx="4572000" cy="4143600"/>
              <wp:effectExtent l="0" t="0" r="0" b="9525"/>
              <wp:wrapNone/>
              <wp:docPr id="10" name="Group 10"/>
              <wp:cNvGraphicFramePr/>
              <a:graphic xmlns:a="http://schemas.openxmlformats.org/drawingml/2006/main">
                <a:graphicData uri="http://schemas.microsoft.com/office/word/2010/wordprocessingGroup">
                  <wpg:wgp>
                    <wpg:cNvGrpSpPr/>
                    <wpg:grpSpPr>
                      <a:xfrm>
                        <a:off x="0" y="0"/>
                        <a:ext cx="4572000" cy="4143600"/>
                        <a:chOff x="0" y="0"/>
                        <a:chExt cx="4572001" cy="4140201"/>
                      </a:xfrm>
                    </wpg:grpSpPr>
                    <wps:wsp>
                      <wps:cNvPr id="11" name="Freeform 11"/>
                      <wps:cNvSpPr/>
                      <wps:spPr>
                        <a:xfrm>
                          <a:off x="2778125" y="0"/>
                          <a:ext cx="1181101" cy="2032001"/>
                        </a:xfrm>
                        <a:custGeom>
                          <a:avLst/>
                          <a:gdLst/>
                          <a:ahLst/>
                          <a:cxnLst/>
                          <a:rect l="0" t="0" r="0" b="0"/>
                          <a:pathLst>
                            <a:path w="1181101" h="2032001">
                              <a:moveTo>
                                <a:pt x="0" y="0"/>
                              </a:moveTo>
                              <a:lnTo>
                                <a:pt x="1181100" y="2019300"/>
                              </a:lnTo>
                              <a:lnTo>
                                <a:pt x="1181100" y="2032000"/>
                              </a:lnTo>
                              <a:lnTo>
                                <a:pt x="152400" y="2019300"/>
                              </a:lnTo>
                              <a:lnTo>
                                <a:pt x="152400" y="2006600"/>
                              </a:lnTo>
                              <a:close/>
                            </a:path>
                          </a:pathLst>
                        </a:custGeom>
                        <a:gradFill flip="none" rotWithShape="1">
                          <a:gsLst>
                            <a:gs pos="0">
                              <a:srgbClr val="E6E6E6"/>
                            </a:gs>
                            <a:gs pos="100000">
                              <a:srgbClr val="E6E6E6">
                                <a:tint val="30000"/>
                              </a:srgbClr>
                            </a:gs>
                          </a:gsLst>
                          <a:lin ang="16200000" scaled="1"/>
                          <a:tileRect/>
                        </a:gradFill>
                        <a:ln w="0" cap="flat" cmpd="sng" algn="ctr">
                          <a:noFill/>
                          <a:prstDash val="solid"/>
                          <a:round/>
                          <a:headEnd type="none" w="med" len="med"/>
                          <a:tailEnd type="none" w="med" len="med"/>
                        </a:ln>
                        <a:effectLst/>
                        <a:extLst>
                          <a:ext uri="{91240B29-F687-4F45-9708-019B960494DF}">
                            <a14:hiddenLine xmlns:a14="http://schemas.microsoft.com/office/drawing/2010/main" w="0" cap="flat" cmpd="sng" algn="ctr">
                              <a:solidFill>
                                <a:schemeClr val="accent1">
                                  <a:shade val="50000"/>
                                </a:schemeClr>
                              </a:solidFill>
                              <a:prstDash val="solid"/>
                              <a:round/>
                              <a:headEnd type="none" w="med" len="med"/>
                              <a:tailEnd type="none" w="med" len="med"/>
                            </a14:hiddenLine>
                          </a:ext>
                        </a:extLst>
                      </wps:spPr>
                      <wps:style>
                        <a:lnRef idx="2">
                          <a:schemeClr val="accent1">
                            <a:shade val="50000"/>
                          </a:schemeClr>
                        </a:lnRef>
                        <a:fillRef idx="1">
                          <a:schemeClr val="accent1"/>
                        </a:fillRef>
                        <a:effectRef idx="0">
                          <a:schemeClr val="accent1"/>
                        </a:effectRef>
                        <a:fontRef idx="minor">
                          <a:schemeClr val="lt1"/>
                        </a:fontRef>
                      </wps:style>
                      <wps:bodyPr/>
                    </wps:wsp>
                    <wps:wsp>
                      <wps:cNvPr id="12" name="Freeform 12"/>
                      <wps:cNvSpPr/>
                      <wps:spPr>
                        <a:xfrm>
                          <a:off x="1978025" y="1981200"/>
                          <a:ext cx="1981201" cy="622301"/>
                        </a:xfrm>
                        <a:custGeom>
                          <a:avLst/>
                          <a:gdLst/>
                          <a:ahLst/>
                          <a:cxnLst/>
                          <a:rect l="0" t="0" r="0" b="0"/>
                          <a:pathLst>
                            <a:path w="1981201" h="622301">
                              <a:moveTo>
                                <a:pt x="381000" y="0"/>
                              </a:moveTo>
                              <a:lnTo>
                                <a:pt x="1981200" y="38100"/>
                              </a:lnTo>
                              <a:lnTo>
                                <a:pt x="1981200" y="50800"/>
                              </a:lnTo>
                              <a:lnTo>
                                <a:pt x="0" y="622300"/>
                              </a:lnTo>
                              <a:lnTo>
                                <a:pt x="0" y="609600"/>
                              </a:lnTo>
                              <a:close/>
                            </a:path>
                          </a:pathLst>
                        </a:custGeom>
                        <a:gradFill flip="none" rotWithShape="1">
                          <a:gsLst>
                            <a:gs pos="0">
                              <a:srgbClr val="E6E6E6"/>
                            </a:gs>
                            <a:gs pos="100000">
                              <a:srgbClr val="E6E6E6">
                                <a:tint val="60000"/>
                              </a:srgbClr>
                            </a:gs>
                          </a:gsLst>
                          <a:lin ang="16200000" scaled="1"/>
                          <a:tileRect/>
                        </a:gradFill>
                        <a:ln w="0" cap="flat" cmpd="sng" algn="ctr">
                          <a:noFill/>
                          <a:prstDash val="solid"/>
                          <a:round/>
                          <a:headEnd type="none" w="med" len="med"/>
                          <a:tailEnd type="none" w="med" len="med"/>
                        </a:ln>
                        <a:effectLst/>
                        <a:extLst>
                          <a:ext uri="{91240B29-F687-4F45-9708-019B960494DF}">
                            <a14:hiddenLine xmlns:a14="http://schemas.microsoft.com/office/drawing/2010/main" w="0" cap="flat" cmpd="sng" algn="ctr">
                              <a:solidFill>
                                <a:schemeClr val="accent1">
                                  <a:shade val="50000"/>
                                </a:schemeClr>
                              </a:solidFill>
                              <a:prstDash val="solid"/>
                              <a:round/>
                              <a:headEnd type="none" w="med" len="med"/>
                              <a:tailEnd type="none" w="med" len="med"/>
                            </a14:hiddenLine>
                          </a:ext>
                        </a:extLst>
                      </wps:spPr>
                      <wps:style>
                        <a:lnRef idx="2">
                          <a:schemeClr val="accent1">
                            <a:shade val="50000"/>
                          </a:schemeClr>
                        </a:lnRef>
                        <a:fillRef idx="1">
                          <a:schemeClr val="accent1"/>
                        </a:fillRef>
                        <a:effectRef idx="0">
                          <a:schemeClr val="accent1"/>
                        </a:effectRef>
                        <a:fontRef idx="minor">
                          <a:schemeClr val="lt1"/>
                        </a:fontRef>
                      </wps:style>
                      <wps:bodyPr/>
                    </wps:wsp>
                    <wps:wsp>
                      <wps:cNvPr id="14" name="Freeform 13"/>
                      <wps:cNvSpPr/>
                      <wps:spPr>
                        <a:xfrm>
                          <a:off x="3949700" y="2019300"/>
                          <a:ext cx="622301" cy="2108201"/>
                        </a:xfrm>
                        <a:custGeom>
                          <a:avLst/>
                          <a:gdLst/>
                          <a:ahLst/>
                          <a:cxnLst/>
                          <a:rect l="0" t="0" r="0" b="0"/>
                          <a:pathLst>
                            <a:path w="622301" h="2108201">
                              <a:moveTo>
                                <a:pt x="622300" y="469900"/>
                              </a:moveTo>
                              <a:lnTo>
                                <a:pt x="381000" y="2108200"/>
                              </a:lnTo>
                              <a:lnTo>
                                <a:pt x="368300" y="2108200"/>
                              </a:lnTo>
                              <a:lnTo>
                                <a:pt x="0" y="12700"/>
                              </a:lnTo>
                              <a:lnTo>
                                <a:pt x="12700" y="0"/>
                              </a:lnTo>
                              <a:close/>
                            </a:path>
                          </a:pathLst>
                        </a:custGeom>
                        <a:gradFill flip="none" rotWithShape="1">
                          <a:gsLst>
                            <a:gs pos="0">
                              <a:srgbClr val="EBEBEB"/>
                            </a:gs>
                            <a:gs pos="100000">
                              <a:srgbClr val="EBEBEB">
                                <a:tint val="10000"/>
                              </a:srgbClr>
                            </a:gs>
                          </a:gsLst>
                          <a:lin ang="0" scaled="1"/>
                          <a:tileRect/>
                        </a:gradFill>
                        <a:ln w="0" cap="flat" cmpd="sng" algn="ctr">
                          <a:noFill/>
                          <a:prstDash val="solid"/>
                          <a:round/>
                          <a:headEnd type="none" w="med" len="med"/>
                          <a:tailEnd type="none" w="med" len="med"/>
                        </a:ln>
                        <a:effectLst/>
                        <a:extLst>
                          <a:ext uri="{91240B29-F687-4F45-9708-019B960494DF}">
                            <a14:hiddenLine xmlns:a14="http://schemas.microsoft.com/office/drawing/2010/main" w="0" cap="flat" cmpd="sng" algn="ctr">
                              <a:solidFill>
                                <a:schemeClr val="accent1">
                                  <a:shade val="50000"/>
                                </a:schemeClr>
                              </a:solidFill>
                              <a:prstDash val="solid"/>
                              <a:round/>
                              <a:headEnd type="none" w="med" len="med"/>
                              <a:tailEnd type="none" w="med" len="med"/>
                            </a14:hiddenLine>
                          </a:ext>
                        </a:extLst>
                      </wps:spPr>
                      <wps:style>
                        <a:lnRef idx="2">
                          <a:schemeClr val="accent1">
                            <a:shade val="50000"/>
                          </a:schemeClr>
                        </a:lnRef>
                        <a:fillRef idx="1">
                          <a:schemeClr val="accent1"/>
                        </a:fillRef>
                        <a:effectRef idx="0">
                          <a:schemeClr val="accent1"/>
                        </a:effectRef>
                        <a:fontRef idx="minor">
                          <a:schemeClr val="lt1"/>
                        </a:fontRef>
                      </wps:style>
                      <wps:bodyPr/>
                    </wps:wsp>
                    <wps:wsp>
                      <wps:cNvPr id="17" name="Freeform 14"/>
                      <wps:cNvSpPr/>
                      <wps:spPr>
                        <a:xfrm>
                          <a:off x="0" y="2019300"/>
                          <a:ext cx="4330701" cy="2120901"/>
                        </a:xfrm>
                        <a:custGeom>
                          <a:avLst/>
                          <a:gdLst/>
                          <a:ahLst/>
                          <a:cxnLst/>
                          <a:rect l="0" t="0" r="0" b="0"/>
                          <a:pathLst>
                            <a:path w="4330701" h="2120901">
                              <a:moveTo>
                                <a:pt x="3962400" y="0"/>
                              </a:moveTo>
                              <a:lnTo>
                                <a:pt x="4330700" y="2120900"/>
                              </a:lnTo>
                              <a:lnTo>
                                <a:pt x="0" y="1143000"/>
                              </a:lnTo>
                              <a:close/>
                            </a:path>
                          </a:pathLst>
                        </a:custGeom>
                        <a:gradFill flip="none" rotWithShape="1">
                          <a:gsLst>
                            <a:gs pos="0">
                              <a:srgbClr val="D7D7D7"/>
                            </a:gs>
                            <a:gs pos="100000">
                              <a:srgbClr val="D7D7D7">
                                <a:tint val="10000"/>
                              </a:srgbClr>
                            </a:gs>
                          </a:gsLst>
                          <a:lin ang="5400000" scaled="1"/>
                          <a:tileRect/>
                        </a:gradFill>
                        <a:ln w="0" cap="flat" cmpd="sng" algn="ctr">
                          <a:noFill/>
                          <a:prstDash val="solid"/>
                          <a:round/>
                          <a:headEnd type="none" w="med" len="med"/>
                          <a:tailEnd type="none" w="med" len="med"/>
                        </a:ln>
                        <a:effectLst/>
                        <a:extLst>
                          <a:ext uri="{91240B29-F687-4F45-9708-019B960494DF}">
                            <a14:hiddenLine xmlns:a14="http://schemas.microsoft.com/office/drawing/2010/main" w="0" cap="flat" cmpd="sng" algn="ctr">
                              <a:solidFill>
                                <a:schemeClr val="accent1">
                                  <a:shade val="50000"/>
                                </a:schemeClr>
                              </a:solidFill>
                              <a:prstDash val="solid"/>
                              <a:round/>
                              <a:headEnd type="none" w="med" len="med"/>
                              <a:tailEnd type="none" w="med" len="med"/>
                            </a14:hiddenLine>
                          </a:ext>
                        </a:extLst>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14:sizeRelV relativeFrom="margin">
                <wp14:pctHeight>0</wp14:pctHeight>
              </wp14:sizeRelV>
            </wp:anchor>
          </w:drawing>
        </mc:Choice>
        <mc:Fallback>
          <w:pict>
            <v:group w14:anchorId="3F0EBF89" id="Group 10" o:spid="_x0000_s1026" style="position:absolute;margin-left:308.8pt;margin-top:0;width:5in;height:326.25pt;z-index:-251657728;mso-position-horizontal:right;mso-position-horizontal-relative:page;mso-position-vertical:bottom;mso-position-vertical-relative:page;mso-height-relative:margin" coordsize="45720,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vgSwUAAO8eAAAOAAAAZHJzL2Uyb0RvYy54bWzsWVlv4zgMfl9g/4Ph9za24xwOmg7Q7fEy&#10;2B3MgX1WbfkAZMmw1KbFYv/7kpTkXG2RTrEtBggCxBdJkR9pfqZ99umhFcE973Wj5DKMT6Mw4DJX&#10;RSOrZfjj+/XJPAy0YbJgQkm+DB+5Dj+d//7b2apb8ETVShS8D8CI1ItVtwxrY7rFaKTzmrdMn6qO&#10;S7hYqr5lBg77alT0bAXWWzFKomg6Wqm+6HqVc63h7KW9GJ6T/bLkufmrLDU3gViG4Juh/57+b/F/&#10;dH7GFlXPurrJnRvsJ7xoWSNh0cHUJTMsuOubPVNtk/dKq9Kc5qodqbJsck4xQDRxtBPNTa/uOoql&#10;WqyqboAJoN3B6afN5n/ef+mDpoDcATyStZAjWjaAYwBn1VULkLnpu2/dl96dqOwRxvtQ9i1uIZLg&#10;gWB9HGDlDybI4WQ6mUGqwHwO19I4HU/hgIDPa8jOnl5eX21pxoNmBCCh5sgvPEL/BndWHRSRXuOk&#10;34bTt5p1nODXiIHHCdyxOF33nGNlBjE5hauD2ICTXmiA7AmQktlsHieTMNiHKo7ncQwxElRJNAbc&#10;tgNmi/xOmxuuCHV2/1kbQrIq/B6r/V7+IP1uDzfCi7dAxwzqobe4G6ygILwv9TL0ruD1Vt3z74ok&#10;zU7uIC/rq0JuSllrUAQQNGQxG9saAA0v57cdWd2WRyCoZp6XnyQp1tih5jfFo6mryA3ruVCa21JD&#10;QKjmBpBAbjMN0D+K60aIoBQN9DAJnS4MemX+bkxNRQRg2u6gHcaVDjoF5RnRad1Xt3+IPrhn0KWu&#10;pvhzVV5pxNlLxwACxIinnlLB86aRxtoBgAfInDQFgSbB/8q7IhoZMOzW8RRBRgx1zgTHlmDvUtMI&#10;/hUKyKLhg8XVhMRCwTubQdylYAZ22w5UtazCgIkKSCE3PbksFWJE1dr12lwyXVtPtRJNYZeChicL&#10;Eqk5K65kEZjHDlqShRTWankRBoKDWdwjScMacYgkJRe95sQL/taALuWSgv2KevY/WQzFdJFkJ9fT&#10;+ewkvU4nJ9ksmp9A3V5k0yjN0svrfzGoOF3UTVFw+bmR3PNHnB7WdxyT2c5PDPIKNAk0BBQjIrrk&#10;QwmxPOfS2JLTNSu4xXlC2bVZHDSoGLaMfVBytqAkryAffksZgmbveyrtmUfBbRV+5SVwGFBNYm8O&#10;fHp4AxxCgkG0XAK+g22H59O2LapOHlVtkQ3K7q59SXnQoJWVNINy20hl76EhbTajApLsVrbygNcG&#10;NLh7q4pHIm66AOyInP4eNJns02SCzuLqB9FknM3mkaPJOAPGtO0MoHVPB/akI8tpkow/kCvJP3AF&#10;uNJ5gllck6EltfEcW/ia+KElrUV2+M9FjIRGai7RXspvHVtuSE+i+dD4vZTfWmnrAfn5Mqk6wQh6&#10;3q7gL8+PENIQ1JEfbRcRct26jvxIFHLkR3xaHHiH4Djy42um+GfGyHSfH8ev4sdxlsJDqW3RGxPV&#10;mh8dEdlZMo7mu8Pz9hDzv86S3hUcJZ0nT/GjoyTkvHSaZUN/fo4kN/jUmt1lqW3eG0/nOHbSjEhe&#10;vCxuJeMEQfb90Y6022atBFrdlfs4kry4gp/z+sAh0qpgWtZDJE2czsxBJAmYHafH4/T47qP9cXqk&#10;lxp+bv3lp8fZPjumr2LHF3gxHY+j2fCSFebK7OMGx8EXYkbrylPMOM6mw/tNzzLPsaK16XkObXoN&#10;z1t+uzkOxvBifj0ReYkPY7DLGf5exWBO5Y0MNoHXyIjDkceOb0Hf/xX1kcfei8fo0yF8VaWJ1n0B&#10;xs+2m8ewv/md+vw/AAAA//8DAFBLAwQUAAYACAAAACEAfFj7btwAAAAFAQAADwAAAGRycy9kb3du&#10;cmV2LnhtbEyPQUvDQBCF74L/YRnBm92kklpiNqUU9VQEW0F6mybTJDQ7G7LbJP33jl708mB4w3vf&#10;y1aTbdVAvW8cG4hnESjiwpUNVwY+968PS1A+IJfYOiYDV/Kwym9vMkxLN/IHDbtQKQlhn6KBOoQu&#10;1doXNVn0M9cRi3dyvcUgZ1/pssdRwm2r51G00BYbloYaO9rUVJx3F2vgbcRx/Ri/DNvzaXM97JP3&#10;r21MxtzfTetnUIGm8PcMP/iCDrkwHd2FS69aAzIk/Kp4T1IF6mhgkcwT0Hmm/9Pn3wAAAP//AwBQ&#10;SwECLQAUAAYACAAAACEAtoM4kv4AAADhAQAAEwAAAAAAAAAAAAAAAAAAAAAAW0NvbnRlbnRfVHlw&#10;ZXNdLnhtbFBLAQItABQABgAIAAAAIQA4/SH/1gAAAJQBAAALAAAAAAAAAAAAAAAAAC8BAABfcmVs&#10;cy8ucmVsc1BLAQItABQABgAIAAAAIQClTVvgSwUAAO8eAAAOAAAAAAAAAAAAAAAAAC4CAABkcnMv&#10;ZTJvRG9jLnhtbFBLAQItABQABgAIAAAAIQB8WPtu3AAAAAUBAAAPAAAAAAAAAAAAAAAAAKUHAABk&#10;cnMvZG93bnJldi54bWxQSwUGAAAAAAQABADzAAAArggAAAAA&#10;">
              <v:shape id="Freeform 11" o:spid="_x0000_s1027" style="position:absolute;left:27781;width:11811;height:20320;visibility:visible;mso-wrap-style:square;v-text-anchor:top" coordsize="1181101,203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C28EA&#10;AADbAAAADwAAAGRycy9kb3ducmV2LnhtbERPS2sCMRC+F/ofwgjeutktIrI1ShFKVfRQ+ziPm3F3&#10;280kJFHXf28Kgrf5+J4znfemEyfyobWsoMhyEMSV1S3XCr4+354mIEJE1thZJgUXCjCfPT5MsdT2&#10;zB902sVapBAOJSpoYnSllKFqyGDIrCNO3MF6gzFBX0vt8ZzCTSef83wsDbacGhp0tGio+tsdjYLN&#10;uj0cv+nHOzvadqvC8f53/67UcNC/voCI1Me7+OZe6jS/gP9f0gFy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ogtvBAAAA2wAAAA8AAAAAAAAAAAAAAAAAmAIAAGRycy9kb3du&#10;cmV2LnhtbFBLBQYAAAAABAAEAPUAAACGAwAAAAA=&#10;" path="m,l1181100,2019300r,12700l152400,2019300r,-12700l,xe" fillcolor="#e6e6e6" stroked="f" strokecolor="#3f3b37 [1604]" strokeweight="0">
                <v:fill color2="#f8f8f8" rotate="t" angle="180" focus="100%" type="gradient"/>
                <v:path arrowok="t" textboxrect="0,0,1181101,2032001"/>
              </v:shape>
              <v:shape id="Freeform 12" o:spid="_x0000_s1028" style="position:absolute;left:19780;top:19812;width:19812;height:6223;visibility:visible;mso-wrap-style:square;v-text-anchor:top" coordsize="1981201,62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1MNMIA&#10;AADbAAAADwAAAGRycy9kb3ducmV2LnhtbERP32vCMBB+F/Y/hBv4pukUnFSjuIEgQxHdpD4ezdnW&#10;NZeSZFr/eyMMfLuP7+dN562pxYWcrywreOsnIIhzqysuFPx8L3tjED4ga6wtk4IbeZjPXjpTTLW9&#10;8o4u+1CIGMI+RQVlCE0qpc9LMuj7tiGO3Mk6gyFCV0jt8BrDTS0HSTKSBiuODSU29FlS/rv/Mwrw&#10;ww3Pw/V4e3jfmOMyzzL62mRKdV/bxQREoDY8xf/ulY7zB/D4JR4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Uw0wgAAANsAAAAPAAAAAAAAAAAAAAAAAJgCAABkcnMvZG93&#10;bnJldi54bWxQSwUGAAAAAAQABAD1AAAAhwMAAAAA&#10;" path="m381000,l1981200,38100r,12700l,622300,,609600,381000,xe" fillcolor="#e6e6e6" stroked="f" strokecolor="#3f3b37 [1604]" strokeweight="0">
                <v:fill color2="#f0f0f0" rotate="t" angle="180" focus="100%" type="gradient"/>
                <v:path arrowok="t" textboxrect="0,0,1981201,622301"/>
              </v:shape>
              <v:shape id="Freeform 13" o:spid="_x0000_s1029" style="position:absolute;left:39497;top:20193;width:6223;height:21082;visibility:visible;mso-wrap-style:square;v-text-anchor:top" coordsize="622301,210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OLMIA&#10;AADbAAAADwAAAGRycy9kb3ducmV2LnhtbERP22oCMRB9L/QfwhR8Ec1Wii2rUcqCIlQQbT9g2Mxe&#10;6GayTbLr6tcbQejbHM51luvBNKIn52vLCl6nCQji3OqaSwU/35vJBwgfkDU2lknBhTysV89PS0y1&#10;PfOR+lMoRQxhn6KCKoQ2ldLnFRn0U9sSR66wzmCI0JVSOzzHcNPIWZLMpcGaY0OFLWUV5b+nzigY&#10;mkvRmfqw/evGX8XhuneZN+9KjV6GzwWIQEP4Fz/cOx3nv8H9l3i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M4swgAAANsAAAAPAAAAAAAAAAAAAAAAAJgCAABkcnMvZG93&#10;bnJldi54bWxQSwUGAAAAAAQABAD1AAAAhwMAAAAA&#10;" path="m622300,469900l381000,2108200r-12700,l,12700,12700,,622300,469900xe" fillcolor="#ebebeb" stroked="f" strokecolor="#3f3b37 [1604]" strokeweight="0">
                <v:fill color2="#fdfdfd" rotate="t" angle="90" focus="100%" type="gradient"/>
                <v:path arrowok="t" textboxrect="0,0,622301,2108201"/>
              </v:shape>
              <v:shape id="Freeform 14" o:spid="_x0000_s1030" style="position:absolute;top:20193;width:43307;height:21209;visibility:visible;mso-wrap-style:square;v-text-anchor:top" coordsize="4330701,2120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rQMAA&#10;AADbAAAADwAAAGRycy9kb3ducmV2LnhtbERPzYrCMBC+L/gOYQRva6qyKtUourCgN1d9gKEZm2oz&#10;qU2s1affCAve5uP7nfmytaVoqPaFYwWDfgKCOHO64FzB8fDzOQXhA7LG0jEpeJCH5aLzMcdUuzv/&#10;UrMPuYgh7FNUYEKoUil9Zsii77uKOHInV1sMEda51DXeY7gt5TBJxtJiwbHBYEXfhrLL/mYV7A6P&#10;67Z0X6OhaarbduzX6+e5VarXbVczEIHa8Bb/uzc6zp/A65d4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PrQMAAAADbAAAADwAAAAAAAAAAAAAAAACYAgAAZHJzL2Rvd25y&#10;ZXYueG1sUEsFBgAAAAAEAAQA9QAAAIUDAAAAAA==&#10;" path="m3962400,r368300,2120900l,1143000,3962400,xe" fillcolor="#d7d7d7" stroked="f" strokecolor="#3f3b37 [1604]" strokeweight="0">
                <v:fill color2="#fbfbfb" rotate="t" focus="100%" type="gradient"/>
                <v:path arrowok="t" textboxrect="0,0,4330701,2120901"/>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A9AE89A"/>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68AD69A"/>
    <w:lvl w:ilvl="0">
      <w:start w:val="1"/>
      <w:numFmt w:val="decimal"/>
      <w:lvlText w:val="%1."/>
      <w:lvlJc w:val="left"/>
      <w:pPr>
        <w:tabs>
          <w:tab w:val="num" w:pos="1209"/>
        </w:tabs>
        <w:ind w:left="1209" w:hanging="360"/>
      </w:pPr>
    </w:lvl>
  </w:abstractNum>
  <w:abstractNum w:abstractNumId="2">
    <w:nsid w:val="FFFFFF80"/>
    <w:multiLevelType w:val="singleLevel"/>
    <w:tmpl w:val="5F025CF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3">
    <w:nsid w:val="FFFFFF81"/>
    <w:multiLevelType w:val="singleLevel"/>
    <w:tmpl w:val="F46C63B6"/>
    <w:lvl w:ilvl="0">
      <w:start w:val="1"/>
      <w:numFmt w:val="bullet"/>
      <w:lvlText w:val=""/>
      <w:lvlJc w:val="left"/>
      <w:pPr>
        <w:tabs>
          <w:tab w:val="num" w:pos="1209"/>
        </w:tabs>
        <w:ind w:left="1209" w:hanging="360"/>
      </w:pPr>
      <w:rPr>
        <w:rFonts w:ascii="Symbol" w:hAnsi="Symbol" w:hint="default"/>
      </w:rPr>
    </w:lvl>
  </w:abstractNum>
  <w:abstractNum w:abstractNumId="4">
    <w:nsid w:val="FFFFFFFB"/>
    <w:multiLevelType w:val="multilevel"/>
    <w:tmpl w:val="E65CEB76"/>
    <w:lvl w:ilvl="0">
      <w:start w:val="1"/>
      <w:numFmt w:val="none"/>
      <w:lvlText w:val="%1"/>
      <w:lvlJc w:val="left"/>
      <w:pPr>
        <w:tabs>
          <w:tab w:val="num" w:pos="36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none"/>
      <w:suff w:val="nothing"/>
      <w:lvlText w:val=""/>
      <w:lvlJc w:val="left"/>
      <w:pPr>
        <w:ind w:left="0" w:firstLine="0"/>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0" w:firstLine="0"/>
      </w:pPr>
    </w:lvl>
  </w:abstractNum>
  <w:abstractNum w:abstractNumId="5">
    <w:nsid w:val="FFFFFFFE"/>
    <w:multiLevelType w:val="singleLevel"/>
    <w:tmpl w:val="FFFFFFFF"/>
    <w:lvl w:ilvl="0">
      <w:numFmt w:val="decimal"/>
      <w:lvlText w:val="*"/>
      <w:lvlJc w:val="left"/>
    </w:lvl>
  </w:abstractNum>
  <w:abstractNum w:abstractNumId="6">
    <w:nsid w:val="035162AF"/>
    <w:multiLevelType w:val="singleLevel"/>
    <w:tmpl w:val="E03022E2"/>
    <w:lvl w:ilvl="0">
      <w:start w:val="1"/>
      <w:numFmt w:val="decimal"/>
      <w:lvlText w:val="%1."/>
      <w:legacy w:legacy="1" w:legacySpace="0" w:legacyIndent="283"/>
      <w:lvlJc w:val="left"/>
      <w:pPr>
        <w:ind w:left="283" w:hanging="283"/>
      </w:pPr>
    </w:lvl>
  </w:abstractNum>
  <w:abstractNum w:abstractNumId="7">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BC83254"/>
    <w:multiLevelType w:val="multilevel"/>
    <w:tmpl w:val="680E4530"/>
    <w:lvl w:ilvl="0">
      <w:start w:val="1"/>
      <w:numFmt w:val="decimal"/>
      <w:lvlText w:val="%1"/>
      <w:lvlJc w:val="left"/>
      <w:pPr>
        <w:tabs>
          <w:tab w:val="num" w:pos="851"/>
        </w:tabs>
        <w:ind w:left="851" w:hanging="851"/>
      </w:pPr>
    </w:lvl>
    <w:lvl w:ilvl="1">
      <w:start w:val="1"/>
      <w:numFmt w:val="decimal"/>
      <w:lvlText w:val="%1.%2"/>
      <w:lvlJc w:val="left"/>
      <w:pPr>
        <w:tabs>
          <w:tab w:val="num" w:pos="0"/>
        </w:tabs>
        <w:ind w:left="851" w:hanging="851"/>
      </w:pPr>
    </w:lvl>
    <w:lvl w:ilvl="2">
      <w:start w:val="1"/>
      <w:numFmt w:val="decimal"/>
      <w:lvlText w:val="%1.%2.%3"/>
      <w:lvlJc w:val="left"/>
      <w:pPr>
        <w:tabs>
          <w:tab w:val="num" w:pos="720"/>
        </w:tabs>
        <w:ind w:left="0" w:firstLine="0"/>
      </w:pPr>
    </w:lvl>
    <w:lvl w:ilvl="3">
      <w:start w:val="1"/>
      <w:numFmt w:val="none"/>
      <w:suff w:val="nothing"/>
      <w:lvlText w:val=""/>
      <w:lvlJc w:val="left"/>
      <w:pPr>
        <w:ind w:left="0" w:firstLine="0"/>
      </w:pPr>
    </w:lvl>
    <w:lvl w:ilvl="4">
      <w:start w:val="1"/>
      <w:numFmt w:val="decimal"/>
      <w:lvlText w:val="(%5)"/>
      <w:lvlJc w:val="left"/>
      <w:pPr>
        <w:tabs>
          <w:tab w:val="num" w:pos="0"/>
        </w:tabs>
        <w:ind w:left="2410" w:hanging="708"/>
      </w:pPr>
    </w:lvl>
    <w:lvl w:ilvl="5">
      <w:start w:val="1"/>
      <w:numFmt w:val="lowerLetter"/>
      <w:lvlText w:val="(%6)"/>
      <w:lvlJc w:val="left"/>
      <w:pPr>
        <w:tabs>
          <w:tab w:val="num" w:pos="0"/>
        </w:tabs>
        <w:ind w:left="3118" w:hanging="708"/>
      </w:pPr>
    </w:lvl>
    <w:lvl w:ilvl="6">
      <w:start w:val="1"/>
      <w:numFmt w:val="lowerRoman"/>
      <w:lvlText w:val="(%7)"/>
      <w:lvlJc w:val="left"/>
      <w:pPr>
        <w:tabs>
          <w:tab w:val="num" w:pos="0"/>
        </w:tabs>
        <w:ind w:left="3826" w:hanging="708"/>
      </w:pPr>
    </w:lvl>
    <w:lvl w:ilvl="7">
      <w:start w:val="1"/>
      <w:numFmt w:val="lowerLetter"/>
      <w:lvlText w:val="(%8)"/>
      <w:lvlJc w:val="left"/>
      <w:pPr>
        <w:tabs>
          <w:tab w:val="num" w:pos="0"/>
        </w:tabs>
        <w:ind w:left="4534" w:hanging="708"/>
      </w:pPr>
    </w:lvl>
    <w:lvl w:ilvl="8">
      <w:start w:val="1"/>
      <w:numFmt w:val="lowerRoman"/>
      <w:lvlText w:val="(%9)"/>
      <w:lvlJc w:val="left"/>
      <w:pPr>
        <w:tabs>
          <w:tab w:val="num" w:pos="0"/>
        </w:tabs>
        <w:ind w:left="5242" w:hanging="708"/>
      </w:pPr>
    </w:lvl>
  </w:abstractNum>
  <w:abstractNum w:abstractNumId="9">
    <w:nsid w:val="0CFD7AD9"/>
    <w:multiLevelType w:val="multilevel"/>
    <w:tmpl w:val="2BA00BE2"/>
    <w:styleLink w:val="CowiBulletList"/>
    <w:lvl w:ilvl="0">
      <w:start w:val="1"/>
      <w:numFmt w:val="bullet"/>
      <w:pStyle w:val="Opstilling-punkttegn"/>
      <w:lvlText w:val="›"/>
      <w:lvlJc w:val="left"/>
      <w:pPr>
        <w:tabs>
          <w:tab w:val="num" w:pos="425"/>
        </w:tabs>
        <w:ind w:left="425" w:hanging="425"/>
      </w:pPr>
      <w:rPr>
        <w:rFonts w:hint="default"/>
        <w:color w:val="F04E23"/>
        <w:position w:val="0"/>
        <w:sz w:val="24"/>
      </w:rPr>
    </w:lvl>
    <w:lvl w:ilvl="1">
      <w:start w:val="1"/>
      <w:numFmt w:val="bullet"/>
      <w:pStyle w:val="Opstilling-punkttegn2"/>
      <w:lvlText w:val="›"/>
      <w:lvlJc w:val="left"/>
      <w:pPr>
        <w:tabs>
          <w:tab w:val="num" w:pos="851"/>
        </w:tabs>
        <w:ind w:left="851" w:hanging="426"/>
      </w:pPr>
      <w:rPr>
        <w:rFonts w:hint="default"/>
        <w:color w:val="333333"/>
        <w:position w:val="0"/>
        <w:sz w:val="24"/>
      </w:rPr>
    </w:lvl>
    <w:lvl w:ilvl="2">
      <w:start w:val="1"/>
      <w:numFmt w:val="bullet"/>
      <w:pStyle w:val="Opstilling-punkttegn3"/>
      <w:lvlText w:val="›"/>
      <w:lvlJc w:val="left"/>
      <w:pPr>
        <w:tabs>
          <w:tab w:val="num" w:pos="1276"/>
        </w:tabs>
        <w:ind w:left="1276" w:hanging="425"/>
      </w:pPr>
      <w:rPr>
        <w:rFonts w:hint="default"/>
        <w:color w:val="333333"/>
        <w:position w:val="0"/>
        <w:sz w:val="24"/>
      </w:rPr>
    </w:lvl>
    <w:lvl w:ilvl="3">
      <w:start w:val="1"/>
      <w:numFmt w:val="bullet"/>
      <w:pStyle w:val="Opstilling-punkttegn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0">
    <w:nsid w:val="1B0D7A83"/>
    <w:multiLevelType w:val="multilevel"/>
    <w:tmpl w:val="DB725200"/>
    <w:styleLink w:val="CowiNumberList"/>
    <w:lvl w:ilvl="0">
      <w:start w:val="1"/>
      <w:numFmt w:val="decimal"/>
      <w:pStyle w:val="Opstilling-talellerbogst"/>
      <w:lvlText w:val="%1"/>
      <w:lvlJc w:val="left"/>
      <w:pPr>
        <w:tabs>
          <w:tab w:val="num" w:pos="425"/>
        </w:tabs>
        <w:ind w:left="425" w:hanging="425"/>
      </w:pPr>
      <w:rPr>
        <w:rFonts w:hint="default"/>
      </w:rPr>
    </w:lvl>
    <w:lvl w:ilvl="1">
      <w:start w:val="1"/>
      <w:numFmt w:val="decimal"/>
      <w:pStyle w:val="Opstilling-talellerbogst2"/>
      <w:lvlText w:val="%1.%2"/>
      <w:lvlJc w:val="left"/>
      <w:pPr>
        <w:tabs>
          <w:tab w:val="num" w:pos="851"/>
        </w:tabs>
        <w:ind w:left="851" w:hanging="426"/>
      </w:pPr>
      <w:rPr>
        <w:rFonts w:hint="default"/>
      </w:rPr>
    </w:lvl>
    <w:lvl w:ilvl="2">
      <w:start w:val="1"/>
      <w:numFmt w:val="lowerLetter"/>
      <w:pStyle w:val="Opstilling-talellerbogst3"/>
      <w:lvlText w:val="%3)"/>
      <w:lvlJc w:val="left"/>
      <w:pPr>
        <w:tabs>
          <w:tab w:val="num" w:pos="1276"/>
        </w:tabs>
        <w:ind w:left="1276" w:hanging="425"/>
      </w:pPr>
      <w:rPr>
        <w:rFonts w:hint="default"/>
      </w:rPr>
    </w:lvl>
    <w:lvl w:ilvl="3">
      <w:start w:val="1"/>
      <w:numFmt w:val="lowerRoman"/>
      <w:pStyle w:val="Opstilling-talellerbogst4"/>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1">
    <w:nsid w:val="1D6D1414"/>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85C1309"/>
    <w:multiLevelType w:val="singleLevel"/>
    <w:tmpl w:val="0809000F"/>
    <w:lvl w:ilvl="0">
      <w:start w:val="1"/>
      <w:numFmt w:val="decimal"/>
      <w:lvlText w:val="%1."/>
      <w:lvlJc w:val="left"/>
      <w:pPr>
        <w:tabs>
          <w:tab w:val="num" w:pos="360"/>
        </w:tabs>
        <w:ind w:left="360" w:hanging="360"/>
      </w:pPr>
    </w:lvl>
  </w:abstractNum>
  <w:abstractNum w:abstractNumId="14">
    <w:nsid w:val="34DD3188"/>
    <w:multiLevelType w:val="multilevel"/>
    <w:tmpl w:val="B1802E2A"/>
    <w:lvl w:ilvl="0">
      <w:start w:val="1"/>
      <w:numFmt w:val="decimal"/>
      <w:lvlText w:val="%1"/>
      <w:lvlJc w:val="left"/>
      <w:pPr>
        <w:tabs>
          <w:tab w:val="num" w:pos="425"/>
        </w:tabs>
        <w:ind w:left="425" w:hanging="425"/>
      </w:pPr>
    </w:lvl>
    <w:lvl w:ilvl="1">
      <w:start w:val="1"/>
      <w:numFmt w:val="decimal"/>
      <w:lvlText w:val="%1.%2"/>
      <w:lvlJc w:val="left"/>
      <w:pPr>
        <w:tabs>
          <w:tab w:val="num" w:pos="851"/>
        </w:tabs>
        <w:ind w:left="851" w:hanging="426"/>
      </w:pPr>
    </w:lvl>
    <w:lvl w:ilvl="2">
      <w:start w:val="1"/>
      <w:numFmt w:val="lowerLetter"/>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5">
    <w:nsid w:val="39A072AF"/>
    <w:multiLevelType w:val="singleLevel"/>
    <w:tmpl w:val="726283EC"/>
    <w:lvl w:ilvl="0">
      <w:start w:val="1"/>
      <w:numFmt w:val="decimal"/>
      <w:lvlText w:val="%1."/>
      <w:lvlJc w:val="left"/>
      <w:pPr>
        <w:tabs>
          <w:tab w:val="num" w:pos="360"/>
        </w:tabs>
        <w:ind w:left="360" w:hanging="360"/>
      </w:pPr>
    </w:lvl>
  </w:abstractNum>
  <w:abstractNum w:abstractNumId="16">
    <w:nsid w:val="3A3D6C26"/>
    <w:multiLevelType w:val="singleLevel"/>
    <w:tmpl w:val="9094FDE4"/>
    <w:lvl w:ilvl="0">
      <w:start w:val="1"/>
      <w:numFmt w:val="decimal"/>
      <w:lvlText w:val="%1."/>
      <w:legacy w:legacy="1" w:legacySpace="0" w:legacyIndent="283"/>
      <w:lvlJc w:val="left"/>
      <w:pPr>
        <w:ind w:left="283" w:hanging="283"/>
      </w:pPr>
    </w:lvl>
  </w:abstractNum>
  <w:abstractNum w:abstractNumId="17">
    <w:nsid w:val="4B7811E4"/>
    <w:multiLevelType w:val="multilevel"/>
    <w:tmpl w:val="D9E24AF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720"/>
        </w:tabs>
        <w:ind w:left="0" w:firstLine="0"/>
      </w:pPr>
      <w:rPr>
        <w:rFonts w:hint="default"/>
      </w:rPr>
    </w:lvl>
    <w:lvl w:ilvl="3">
      <w:start w:val="1"/>
      <w:numFmt w:val="none"/>
      <w:suff w:val="nothing"/>
      <w:lvlText w:val=""/>
      <w:lvlJc w:val="left"/>
      <w:pPr>
        <w:ind w:left="0" w:firstLine="0"/>
      </w:pPr>
      <w:rPr>
        <w:rFonts w:hint="default"/>
      </w:rPr>
    </w:lvl>
    <w:lvl w:ilvl="4">
      <w:start w:val="1"/>
      <w:numFmt w:val="decimal"/>
      <w:lvlText w:val="(%5)"/>
      <w:lvlJc w:val="left"/>
      <w:pPr>
        <w:tabs>
          <w:tab w:val="num" w:pos="0"/>
        </w:tabs>
        <w:ind w:left="2410" w:hanging="708"/>
      </w:pPr>
      <w:rPr>
        <w:rFonts w:hint="default"/>
      </w:rPr>
    </w:lvl>
    <w:lvl w:ilvl="5">
      <w:start w:val="1"/>
      <w:numFmt w:val="lowerLetter"/>
      <w:lvlText w:val="(%6)"/>
      <w:lvlJc w:val="left"/>
      <w:pPr>
        <w:tabs>
          <w:tab w:val="num" w:pos="0"/>
        </w:tabs>
        <w:ind w:left="3118" w:hanging="708"/>
      </w:pPr>
      <w:rPr>
        <w:rFonts w:hint="default"/>
      </w:rPr>
    </w:lvl>
    <w:lvl w:ilvl="6">
      <w:start w:val="1"/>
      <w:numFmt w:val="lowerRoman"/>
      <w:lvlText w:val="(%7)"/>
      <w:lvlJc w:val="left"/>
      <w:pPr>
        <w:tabs>
          <w:tab w:val="num" w:pos="0"/>
        </w:tabs>
        <w:ind w:left="3826" w:hanging="708"/>
      </w:pPr>
      <w:rPr>
        <w:rFonts w:hint="default"/>
      </w:rPr>
    </w:lvl>
    <w:lvl w:ilvl="7">
      <w:start w:val="1"/>
      <w:numFmt w:val="lowerLetter"/>
      <w:lvlText w:val="(%8)"/>
      <w:lvlJc w:val="left"/>
      <w:pPr>
        <w:tabs>
          <w:tab w:val="num" w:pos="0"/>
        </w:tabs>
        <w:ind w:left="4534" w:hanging="708"/>
      </w:pPr>
      <w:rPr>
        <w:rFonts w:hint="default"/>
      </w:rPr>
    </w:lvl>
    <w:lvl w:ilvl="8">
      <w:start w:val="1"/>
      <w:numFmt w:val="lowerRoman"/>
      <w:lvlText w:val="(%9)"/>
      <w:lvlJc w:val="left"/>
      <w:pPr>
        <w:tabs>
          <w:tab w:val="num" w:pos="0"/>
        </w:tabs>
        <w:ind w:left="5242" w:hanging="708"/>
      </w:pPr>
      <w:rPr>
        <w:rFonts w:hint="default"/>
      </w:rPr>
    </w:lvl>
  </w:abstractNum>
  <w:abstractNum w:abstractNumId="18">
    <w:nsid w:val="508259FD"/>
    <w:multiLevelType w:val="singleLevel"/>
    <w:tmpl w:val="ECD8CBCC"/>
    <w:lvl w:ilvl="0">
      <w:start w:val="1"/>
      <w:numFmt w:val="decimal"/>
      <w:lvlText w:val="%1."/>
      <w:legacy w:legacy="1" w:legacySpace="0" w:legacyIndent="283"/>
      <w:lvlJc w:val="left"/>
      <w:pPr>
        <w:ind w:left="283" w:hanging="283"/>
      </w:pPr>
    </w:lvl>
  </w:abstractNum>
  <w:abstractNum w:abstractNumId="19">
    <w:nsid w:val="540753B6"/>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58462BE8"/>
    <w:multiLevelType w:val="singleLevel"/>
    <w:tmpl w:val="5532E484"/>
    <w:lvl w:ilvl="0">
      <w:start w:val="1"/>
      <w:numFmt w:val="decimal"/>
      <w:lvlText w:val="%1."/>
      <w:legacy w:legacy="1" w:legacySpace="0" w:legacyIndent="283"/>
      <w:lvlJc w:val="left"/>
      <w:pPr>
        <w:ind w:left="283" w:hanging="283"/>
      </w:pPr>
    </w:lvl>
  </w:abstractNum>
  <w:abstractNum w:abstractNumId="21">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4A6069A"/>
    <w:multiLevelType w:val="multilevel"/>
    <w:tmpl w:val="D2C447E2"/>
    <w:lvl w:ilvl="0">
      <w:start w:val="1"/>
      <w:numFmt w:val="decimal"/>
      <w:lvlText w:val="%1"/>
      <w:lvlJc w:val="left"/>
      <w:pPr>
        <w:tabs>
          <w:tab w:val="num" w:pos="425"/>
        </w:tabs>
        <w:ind w:left="425" w:hanging="425"/>
      </w:pPr>
    </w:lvl>
    <w:lvl w:ilvl="1">
      <w:start w:val="1"/>
      <w:numFmt w:val="decimal"/>
      <w:lvlText w:val="%1.%2"/>
      <w:lvlJc w:val="left"/>
      <w:pPr>
        <w:tabs>
          <w:tab w:val="num" w:pos="851"/>
        </w:tabs>
        <w:ind w:left="851" w:hanging="426"/>
      </w:pPr>
    </w:lvl>
    <w:lvl w:ilvl="2">
      <w:start w:val="1"/>
      <w:numFmt w:val="lowerLetter"/>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3">
    <w:nsid w:val="685666B2"/>
    <w:multiLevelType w:val="multilevel"/>
    <w:tmpl w:val="91F28F0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5)"/>
      <w:lvlJc w:val="left"/>
      <w:pPr>
        <w:tabs>
          <w:tab w:val="num" w:pos="0"/>
        </w:tabs>
        <w:ind w:left="2410" w:hanging="708"/>
      </w:pPr>
      <w:rPr>
        <w:rFonts w:hint="default"/>
      </w:rPr>
    </w:lvl>
    <w:lvl w:ilvl="5">
      <w:start w:val="1"/>
      <w:numFmt w:val="lowerLetter"/>
      <w:pStyle w:val="Overskrift6"/>
      <w:lvlText w:val="(%6)"/>
      <w:lvlJc w:val="left"/>
      <w:pPr>
        <w:tabs>
          <w:tab w:val="num" w:pos="0"/>
        </w:tabs>
        <w:ind w:left="3118" w:hanging="708"/>
      </w:pPr>
      <w:rPr>
        <w:rFonts w:hint="default"/>
      </w:rPr>
    </w:lvl>
    <w:lvl w:ilvl="6">
      <w:start w:val="1"/>
      <w:numFmt w:val="lowerRoman"/>
      <w:lvlText w:val="(%7)"/>
      <w:lvlJc w:val="left"/>
      <w:pPr>
        <w:tabs>
          <w:tab w:val="num" w:pos="0"/>
        </w:tabs>
        <w:ind w:left="3826" w:hanging="708"/>
      </w:pPr>
      <w:rPr>
        <w:rFonts w:hint="default"/>
      </w:rPr>
    </w:lvl>
    <w:lvl w:ilvl="7">
      <w:start w:val="1"/>
      <w:numFmt w:val="lowerLetter"/>
      <w:lvlText w:val="(%8)"/>
      <w:lvlJc w:val="left"/>
      <w:pPr>
        <w:tabs>
          <w:tab w:val="num" w:pos="0"/>
        </w:tabs>
        <w:ind w:left="4534" w:hanging="708"/>
      </w:pPr>
      <w:rPr>
        <w:rFonts w:hint="default"/>
      </w:rPr>
    </w:lvl>
    <w:lvl w:ilvl="8">
      <w:start w:val="1"/>
      <w:numFmt w:val="lowerRoman"/>
      <w:lvlText w:val="(%9)"/>
      <w:lvlJc w:val="left"/>
      <w:pPr>
        <w:tabs>
          <w:tab w:val="num" w:pos="0"/>
        </w:tabs>
        <w:ind w:left="5242" w:hanging="708"/>
      </w:pPr>
      <w:rPr>
        <w:rFonts w:hint="default"/>
      </w:rPr>
    </w:lvl>
  </w:abstractNum>
  <w:abstractNum w:abstractNumId="24">
    <w:nsid w:val="6A870E81"/>
    <w:multiLevelType w:val="singleLevel"/>
    <w:tmpl w:val="95AC9412"/>
    <w:lvl w:ilvl="0">
      <w:start w:val="1"/>
      <w:numFmt w:val="bullet"/>
      <w:lvlText w:val="-"/>
      <w:lvlJc w:val="left"/>
      <w:pPr>
        <w:tabs>
          <w:tab w:val="num" w:pos="851"/>
        </w:tabs>
        <w:ind w:left="851" w:hanging="426"/>
      </w:pPr>
      <w:rPr>
        <w:rFonts w:ascii="Times New Roman" w:hAnsi="Times New Roman" w:hint="default"/>
      </w:rPr>
    </w:lvl>
  </w:abstractNum>
  <w:abstractNum w:abstractNumId="25">
    <w:nsid w:val="6D367607"/>
    <w:multiLevelType w:val="multilevel"/>
    <w:tmpl w:val="01708D6E"/>
    <w:styleLink w:val="CowiHeadings"/>
    <w:lvl w:ilvl="0">
      <w:start w:val="1"/>
      <w:numFmt w:val="decimal"/>
      <w:pStyle w:val="Overskrift1"/>
      <w:lvlText w:val="%1"/>
      <w:lvlJc w:val="left"/>
      <w:pPr>
        <w:tabs>
          <w:tab w:val="num" w:pos="851"/>
        </w:tabs>
        <w:ind w:left="851" w:hanging="851"/>
      </w:pPr>
      <w:rPr>
        <w:rFonts w:hint="default"/>
      </w:rPr>
    </w:lvl>
    <w:lvl w:ilvl="1">
      <w:start w:val="1"/>
      <w:numFmt w:val="decimal"/>
      <w:pStyle w:val="Overskrift2"/>
      <w:lvlText w:val="%1.%2"/>
      <w:lvlJc w:val="left"/>
      <w:pPr>
        <w:tabs>
          <w:tab w:val="num" w:pos="851"/>
        </w:tabs>
        <w:ind w:left="851" w:hanging="851"/>
      </w:pPr>
      <w:rPr>
        <w:rFonts w:hint="default"/>
      </w:rPr>
    </w:lvl>
    <w:lvl w:ilvl="2">
      <w:start w:val="1"/>
      <w:numFmt w:val="decimal"/>
      <w:pStyle w:val="Overskrift3"/>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pStyle w:val="Overskrift7"/>
      <w:lvlText w:val="Bilag %7"/>
      <w:lvlJc w:val="left"/>
      <w:pPr>
        <w:ind w:left="0" w:firstLine="0"/>
      </w:pPr>
      <w:rPr>
        <w:rFonts w:hint="default"/>
      </w:rPr>
    </w:lvl>
    <w:lvl w:ilvl="7">
      <w:start w:val="1"/>
      <w:numFmt w:val="decimal"/>
      <w:pStyle w:val="Overskrift8"/>
      <w:lvlText w:val="%7.%8"/>
      <w:lvlJc w:val="left"/>
      <w:pPr>
        <w:tabs>
          <w:tab w:val="num" w:pos="851"/>
        </w:tabs>
        <w:ind w:left="851" w:hanging="851"/>
      </w:pPr>
      <w:rPr>
        <w:rFonts w:hint="default"/>
      </w:rPr>
    </w:lvl>
    <w:lvl w:ilvl="8">
      <w:start w:val="1"/>
      <w:numFmt w:val="decimal"/>
      <w:pStyle w:val="Overskrift9"/>
      <w:lvlText w:val="%7.%8.%9"/>
      <w:lvlJc w:val="left"/>
      <w:pPr>
        <w:tabs>
          <w:tab w:val="num" w:pos="851"/>
        </w:tabs>
        <w:ind w:left="851" w:hanging="851"/>
      </w:pPr>
      <w:rPr>
        <w:rFonts w:hint="default"/>
      </w:rPr>
    </w:lvl>
  </w:abstractNum>
  <w:abstractNum w:abstractNumId="26">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num w:numId="1">
    <w:abstractNumId w:val="4"/>
  </w:num>
  <w:num w:numId="2">
    <w:abstractNumId w:val="5"/>
    <w:lvlOverride w:ilvl="0">
      <w:lvl w:ilvl="0">
        <w:start w:val="1"/>
        <w:numFmt w:val="bullet"/>
        <w:lvlText w:val="•"/>
        <w:legacy w:legacy="1" w:legacySpace="0" w:legacyIndent="283"/>
        <w:lvlJc w:val="left"/>
        <w:pPr>
          <w:ind w:left="283" w:hanging="283"/>
        </w:pPr>
        <w:rPr>
          <w:rFonts w:ascii="Times New Roman" w:hAnsi="Times New Roman" w:hint="default"/>
          <w:sz w:val="23"/>
        </w:rPr>
      </w:lvl>
    </w:lvlOverride>
  </w:num>
  <w:num w:numId="3">
    <w:abstractNumId w:val="20"/>
  </w:num>
  <w:num w:numId="4">
    <w:abstractNumId w:val="13"/>
  </w:num>
  <w:num w:numId="5">
    <w:abstractNumId w:val="14"/>
  </w:num>
  <w:num w:numId="6">
    <w:abstractNumId w:val="14"/>
    <w:lvlOverride w:ilvl="0">
      <w:lvl w:ilvl="0">
        <w:start w:val="1"/>
        <w:numFmt w:val="decimal"/>
        <w:lvlText w:val="%1."/>
        <w:legacy w:legacy="1" w:legacySpace="0" w:legacyIndent="283"/>
        <w:lvlJc w:val="left"/>
        <w:pPr>
          <w:ind w:left="283" w:hanging="283"/>
        </w:pPr>
      </w:lvl>
    </w:lvlOverride>
  </w:num>
  <w:num w:numId="7">
    <w:abstractNumId w:val="6"/>
  </w:num>
  <w:num w:numId="8">
    <w:abstractNumId w:val="6"/>
    <w:lvlOverride w:ilvl="0">
      <w:lvl w:ilvl="0">
        <w:start w:val="1"/>
        <w:numFmt w:val="decimal"/>
        <w:lvlText w:val="%1."/>
        <w:legacy w:legacy="1" w:legacySpace="0" w:legacyIndent="283"/>
        <w:lvlJc w:val="left"/>
        <w:pPr>
          <w:ind w:left="283" w:hanging="283"/>
        </w:pPr>
      </w:lvl>
    </w:lvlOverride>
  </w:num>
  <w:num w:numId="9">
    <w:abstractNumId w:val="16"/>
  </w:num>
  <w:num w:numId="10">
    <w:abstractNumId w:val="18"/>
  </w:num>
  <w:num w:numId="11">
    <w:abstractNumId w:val="1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lvl w:ilvl="0">
        <w:start w:val="1"/>
        <w:numFmt w:val="bullet"/>
        <w:lvlText w:val=""/>
        <w:legacy w:legacy="1" w:legacySpace="0" w:legacyIndent="283"/>
        <w:lvlJc w:val="left"/>
        <w:pPr>
          <w:ind w:left="708" w:hanging="283"/>
        </w:pPr>
        <w:rPr>
          <w:rFonts w:ascii="Times" w:hAnsi="Times" w:hint="default"/>
        </w:rPr>
      </w:lvl>
    </w:lvlOverride>
  </w:num>
  <w:num w:numId="16">
    <w:abstractNumId w:val="22"/>
  </w:num>
  <w:num w:numId="17">
    <w:abstractNumId w:val="24"/>
  </w:num>
  <w:num w:numId="18">
    <w:abstractNumId w:val="22"/>
  </w:num>
  <w:num w:numId="19">
    <w:abstractNumId w:val="22"/>
  </w:num>
  <w:num w:numId="20">
    <w:abstractNumId w:val="23"/>
  </w:num>
  <w:num w:numId="21">
    <w:abstractNumId w:val="8"/>
  </w:num>
  <w:num w:numId="22">
    <w:abstractNumId w:val="17"/>
  </w:num>
  <w:num w:numId="23">
    <w:abstractNumId w:val="26"/>
  </w:num>
  <w:num w:numId="24">
    <w:abstractNumId w:val="7"/>
  </w:num>
  <w:num w:numId="25">
    <w:abstractNumId w:val="11"/>
  </w:num>
  <w:num w:numId="26">
    <w:abstractNumId w:val="3"/>
  </w:num>
  <w:num w:numId="27">
    <w:abstractNumId w:val="2"/>
  </w:num>
  <w:num w:numId="28">
    <w:abstractNumId w:val="1"/>
  </w:num>
  <w:num w:numId="29">
    <w:abstractNumId w:val="0"/>
  </w:num>
  <w:num w:numId="30">
    <w:abstractNumId w:val="19"/>
  </w:num>
  <w:num w:numId="31">
    <w:abstractNumId w:val="9"/>
  </w:num>
  <w:num w:numId="32">
    <w:abstractNumId w:val="10"/>
  </w:num>
  <w:num w:numId="33">
    <w:abstractNumId w:val="9"/>
  </w:num>
  <w:num w:numId="34">
    <w:abstractNumId w:val="10"/>
  </w:num>
  <w:num w:numId="35">
    <w:abstractNumId w:val="25"/>
    <w:lvlOverride w:ilvl="2">
      <w:lvl w:ilvl="2">
        <w:start w:val="1"/>
        <w:numFmt w:val="decimal"/>
        <w:pStyle w:val="Overskrift3"/>
        <w:lvlText w:val="%1.%2.%3"/>
        <w:lvlJc w:val="left"/>
        <w:pPr>
          <w:tabs>
            <w:tab w:val="num" w:pos="851"/>
          </w:tabs>
          <w:ind w:left="851" w:hanging="851"/>
        </w:pPr>
        <w:rPr>
          <w:rFonts w:hint="default"/>
          <w:sz w:val="28"/>
          <w:szCs w:val="28"/>
        </w:rPr>
      </w:lvl>
    </w:lvlOverride>
  </w:num>
  <w:num w:numId="36">
    <w:abstractNumId w:val="21"/>
  </w:num>
  <w:num w:numId="37">
    <w:abstractNumId w:val="12"/>
  </w:num>
  <w:num w:numId="38">
    <w:abstractNumId w:val="21"/>
  </w:num>
  <w:num w:numId="39">
    <w:abstractNumId w:val="21"/>
  </w:num>
  <w:num w:numId="40">
    <w:abstractNumId w:val="21"/>
  </w:num>
  <w:num w:numId="41">
    <w:abstractNumId w:val="21"/>
  </w:num>
  <w:num w:numId="42">
    <w:abstractNumId w:val="21"/>
  </w:num>
  <w:num w:numId="43">
    <w:abstractNumId w:val="21"/>
  </w:num>
  <w:num w:numId="44">
    <w:abstractNumId w:val="12"/>
  </w:num>
  <w:num w:numId="45">
    <w:abstractNumId w:val="12"/>
  </w:num>
  <w:num w:numId="46">
    <w:abstractNumId w:val="12"/>
  </w:num>
  <w:num w:numId="47">
    <w:abstractNumId w:val="12"/>
  </w:num>
  <w:num w:numId="48">
    <w:abstractNumId w:val="12"/>
  </w:num>
  <w:num w:numId="49">
    <w:abstractNumId w:val="12"/>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425"/>
  <w:autoHyphenation/>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7DC"/>
    <w:rsid w:val="00001C6F"/>
    <w:rsid w:val="0001054D"/>
    <w:rsid w:val="000123A2"/>
    <w:rsid w:val="0001439D"/>
    <w:rsid w:val="000166BE"/>
    <w:rsid w:val="00022FC2"/>
    <w:rsid w:val="0002419D"/>
    <w:rsid w:val="0002598F"/>
    <w:rsid w:val="00034184"/>
    <w:rsid w:val="00037C42"/>
    <w:rsid w:val="0004009F"/>
    <w:rsid w:val="000410ED"/>
    <w:rsid w:val="00041C73"/>
    <w:rsid w:val="00050A78"/>
    <w:rsid w:val="00052306"/>
    <w:rsid w:val="00052818"/>
    <w:rsid w:val="00053802"/>
    <w:rsid w:val="00054BBA"/>
    <w:rsid w:val="00054EE6"/>
    <w:rsid w:val="000635AD"/>
    <w:rsid w:val="00067455"/>
    <w:rsid w:val="000708F6"/>
    <w:rsid w:val="00074128"/>
    <w:rsid w:val="00082A7E"/>
    <w:rsid w:val="00087B86"/>
    <w:rsid w:val="00091687"/>
    <w:rsid w:val="00095611"/>
    <w:rsid w:val="000969C1"/>
    <w:rsid w:val="000A651E"/>
    <w:rsid w:val="000A7235"/>
    <w:rsid w:val="000C0FD1"/>
    <w:rsid w:val="000D14CD"/>
    <w:rsid w:val="000E12C4"/>
    <w:rsid w:val="000E2729"/>
    <w:rsid w:val="000E3368"/>
    <w:rsid w:val="000F035B"/>
    <w:rsid w:val="000F4078"/>
    <w:rsid w:val="00107DE7"/>
    <w:rsid w:val="00111043"/>
    <w:rsid w:val="00112055"/>
    <w:rsid w:val="00115771"/>
    <w:rsid w:val="001165BE"/>
    <w:rsid w:val="00122283"/>
    <w:rsid w:val="00125409"/>
    <w:rsid w:val="00127421"/>
    <w:rsid w:val="00132AFB"/>
    <w:rsid w:val="00134786"/>
    <w:rsid w:val="00136FD0"/>
    <w:rsid w:val="00137F2C"/>
    <w:rsid w:val="00141E8E"/>
    <w:rsid w:val="001428CD"/>
    <w:rsid w:val="00143619"/>
    <w:rsid w:val="0014626E"/>
    <w:rsid w:val="00152B82"/>
    <w:rsid w:val="00156763"/>
    <w:rsid w:val="00174330"/>
    <w:rsid w:val="001901E2"/>
    <w:rsid w:val="00191A7C"/>
    <w:rsid w:val="00191E32"/>
    <w:rsid w:val="001A6DBA"/>
    <w:rsid w:val="001B4CF2"/>
    <w:rsid w:val="001B50EA"/>
    <w:rsid w:val="001C7117"/>
    <w:rsid w:val="001C754A"/>
    <w:rsid w:val="001D628E"/>
    <w:rsid w:val="001E10AC"/>
    <w:rsid w:val="001E1478"/>
    <w:rsid w:val="001F5580"/>
    <w:rsid w:val="001F5A14"/>
    <w:rsid w:val="001F721B"/>
    <w:rsid w:val="002018D8"/>
    <w:rsid w:val="00201AFB"/>
    <w:rsid w:val="00201D9E"/>
    <w:rsid w:val="00215154"/>
    <w:rsid w:val="002164D1"/>
    <w:rsid w:val="00220D7E"/>
    <w:rsid w:val="002241DD"/>
    <w:rsid w:val="00224C51"/>
    <w:rsid w:val="00226D89"/>
    <w:rsid w:val="002309F2"/>
    <w:rsid w:val="0024202C"/>
    <w:rsid w:val="00251F9C"/>
    <w:rsid w:val="002543DF"/>
    <w:rsid w:val="00254E24"/>
    <w:rsid w:val="00256A40"/>
    <w:rsid w:val="00274A61"/>
    <w:rsid w:val="00275AAC"/>
    <w:rsid w:val="0028205D"/>
    <w:rsid w:val="002830EA"/>
    <w:rsid w:val="00285DF8"/>
    <w:rsid w:val="00287E6D"/>
    <w:rsid w:val="002939DB"/>
    <w:rsid w:val="00294745"/>
    <w:rsid w:val="002A7B2B"/>
    <w:rsid w:val="002B18E1"/>
    <w:rsid w:val="002B4FAD"/>
    <w:rsid w:val="002B7B26"/>
    <w:rsid w:val="002C01B7"/>
    <w:rsid w:val="002C505D"/>
    <w:rsid w:val="002D1C59"/>
    <w:rsid w:val="002D2EE2"/>
    <w:rsid w:val="002D7720"/>
    <w:rsid w:val="002E61D0"/>
    <w:rsid w:val="002F015C"/>
    <w:rsid w:val="003026CC"/>
    <w:rsid w:val="003073CC"/>
    <w:rsid w:val="00313942"/>
    <w:rsid w:val="0032002A"/>
    <w:rsid w:val="0032352E"/>
    <w:rsid w:val="00332108"/>
    <w:rsid w:val="003667AD"/>
    <w:rsid w:val="003750B5"/>
    <w:rsid w:val="00387757"/>
    <w:rsid w:val="0039734F"/>
    <w:rsid w:val="003A1EA4"/>
    <w:rsid w:val="003A59B5"/>
    <w:rsid w:val="003A7E13"/>
    <w:rsid w:val="003B37CB"/>
    <w:rsid w:val="003B46A4"/>
    <w:rsid w:val="003B505A"/>
    <w:rsid w:val="003D1627"/>
    <w:rsid w:val="003D16AA"/>
    <w:rsid w:val="003D4F12"/>
    <w:rsid w:val="003D6702"/>
    <w:rsid w:val="003D7F34"/>
    <w:rsid w:val="003E53E0"/>
    <w:rsid w:val="003E64FF"/>
    <w:rsid w:val="003E691A"/>
    <w:rsid w:val="003E6C8C"/>
    <w:rsid w:val="003F202D"/>
    <w:rsid w:val="003F4ABB"/>
    <w:rsid w:val="003F6B2C"/>
    <w:rsid w:val="00400AC9"/>
    <w:rsid w:val="00404CEA"/>
    <w:rsid w:val="00407657"/>
    <w:rsid w:val="00416FD2"/>
    <w:rsid w:val="00420CA0"/>
    <w:rsid w:val="00421AC5"/>
    <w:rsid w:val="00421D42"/>
    <w:rsid w:val="00422523"/>
    <w:rsid w:val="004235A7"/>
    <w:rsid w:val="0043503F"/>
    <w:rsid w:val="00441D3B"/>
    <w:rsid w:val="00442528"/>
    <w:rsid w:val="0044710E"/>
    <w:rsid w:val="0046423D"/>
    <w:rsid w:val="00473AE2"/>
    <w:rsid w:val="00474CF7"/>
    <w:rsid w:val="00480C3D"/>
    <w:rsid w:val="00484FE2"/>
    <w:rsid w:val="00485FCB"/>
    <w:rsid w:val="00487513"/>
    <w:rsid w:val="0049188B"/>
    <w:rsid w:val="00495C43"/>
    <w:rsid w:val="004B062E"/>
    <w:rsid w:val="004B3985"/>
    <w:rsid w:val="004B70D2"/>
    <w:rsid w:val="004C03F9"/>
    <w:rsid w:val="004C5DBB"/>
    <w:rsid w:val="004C7AA5"/>
    <w:rsid w:val="004D18D0"/>
    <w:rsid w:val="004D581F"/>
    <w:rsid w:val="004D76AE"/>
    <w:rsid w:val="004E2C94"/>
    <w:rsid w:val="004E7545"/>
    <w:rsid w:val="004F6425"/>
    <w:rsid w:val="004F7AEC"/>
    <w:rsid w:val="00500042"/>
    <w:rsid w:val="005038BF"/>
    <w:rsid w:val="00504208"/>
    <w:rsid w:val="00504FFE"/>
    <w:rsid w:val="005054BC"/>
    <w:rsid w:val="00513107"/>
    <w:rsid w:val="0051699D"/>
    <w:rsid w:val="00521596"/>
    <w:rsid w:val="005221F6"/>
    <w:rsid w:val="00525657"/>
    <w:rsid w:val="00527681"/>
    <w:rsid w:val="00527D41"/>
    <w:rsid w:val="00530B6A"/>
    <w:rsid w:val="005333FA"/>
    <w:rsid w:val="005378D3"/>
    <w:rsid w:val="00541533"/>
    <w:rsid w:val="00546AF3"/>
    <w:rsid w:val="00546B91"/>
    <w:rsid w:val="005549FC"/>
    <w:rsid w:val="00563C2B"/>
    <w:rsid w:val="00564EAD"/>
    <w:rsid w:val="00571B82"/>
    <w:rsid w:val="00572E79"/>
    <w:rsid w:val="00572F4B"/>
    <w:rsid w:val="00575291"/>
    <w:rsid w:val="0057620B"/>
    <w:rsid w:val="00580945"/>
    <w:rsid w:val="0058373A"/>
    <w:rsid w:val="00585A4D"/>
    <w:rsid w:val="0059027F"/>
    <w:rsid w:val="00594775"/>
    <w:rsid w:val="00594CFB"/>
    <w:rsid w:val="005A5216"/>
    <w:rsid w:val="005A6546"/>
    <w:rsid w:val="005B2C47"/>
    <w:rsid w:val="005B486B"/>
    <w:rsid w:val="005B488A"/>
    <w:rsid w:val="005B6DF2"/>
    <w:rsid w:val="005B78AE"/>
    <w:rsid w:val="005C1D5A"/>
    <w:rsid w:val="005D49EA"/>
    <w:rsid w:val="005D7621"/>
    <w:rsid w:val="005E7064"/>
    <w:rsid w:val="005E776D"/>
    <w:rsid w:val="005F7D4D"/>
    <w:rsid w:val="00607AFB"/>
    <w:rsid w:val="0061550A"/>
    <w:rsid w:val="0064687C"/>
    <w:rsid w:val="00653F9F"/>
    <w:rsid w:val="00662218"/>
    <w:rsid w:val="00677BD6"/>
    <w:rsid w:val="00677EF4"/>
    <w:rsid w:val="0068179D"/>
    <w:rsid w:val="0068659A"/>
    <w:rsid w:val="006926A6"/>
    <w:rsid w:val="00696573"/>
    <w:rsid w:val="006979FB"/>
    <w:rsid w:val="006B0F54"/>
    <w:rsid w:val="006B3398"/>
    <w:rsid w:val="006B3CBD"/>
    <w:rsid w:val="006B483A"/>
    <w:rsid w:val="006B4D9B"/>
    <w:rsid w:val="006C5691"/>
    <w:rsid w:val="006D18E8"/>
    <w:rsid w:val="006E0675"/>
    <w:rsid w:val="006E1842"/>
    <w:rsid w:val="006E5A65"/>
    <w:rsid w:val="006E7875"/>
    <w:rsid w:val="006F14E8"/>
    <w:rsid w:val="006F2FD5"/>
    <w:rsid w:val="0071189A"/>
    <w:rsid w:val="0071291E"/>
    <w:rsid w:val="00714DF9"/>
    <w:rsid w:val="00715595"/>
    <w:rsid w:val="00715FA5"/>
    <w:rsid w:val="007204E0"/>
    <w:rsid w:val="00731E10"/>
    <w:rsid w:val="00753C2D"/>
    <w:rsid w:val="0076554B"/>
    <w:rsid w:val="007716E3"/>
    <w:rsid w:val="007923FC"/>
    <w:rsid w:val="007946F8"/>
    <w:rsid w:val="007A0016"/>
    <w:rsid w:val="007B6C2F"/>
    <w:rsid w:val="007C325D"/>
    <w:rsid w:val="007C7F00"/>
    <w:rsid w:val="007D2416"/>
    <w:rsid w:val="007D5500"/>
    <w:rsid w:val="007D686C"/>
    <w:rsid w:val="007D6968"/>
    <w:rsid w:val="007E06BF"/>
    <w:rsid w:val="007E127E"/>
    <w:rsid w:val="007E4B97"/>
    <w:rsid w:val="007F52FA"/>
    <w:rsid w:val="007F5CCA"/>
    <w:rsid w:val="00806B55"/>
    <w:rsid w:val="00806B75"/>
    <w:rsid w:val="00812161"/>
    <w:rsid w:val="0082518B"/>
    <w:rsid w:val="008306AB"/>
    <w:rsid w:val="00830E53"/>
    <w:rsid w:val="00834F99"/>
    <w:rsid w:val="00844536"/>
    <w:rsid w:val="00846716"/>
    <w:rsid w:val="00846E01"/>
    <w:rsid w:val="00854F57"/>
    <w:rsid w:val="008561BF"/>
    <w:rsid w:val="00865A74"/>
    <w:rsid w:val="008663B9"/>
    <w:rsid w:val="00876007"/>
    <w:rsid w:val="00877B4C"/>
    <w:rsid w:val="008807A0"/>
    <w:rsid w:val="00886751"/>
    <w:rsid w:val="0089279D"/>
    <w:rsid w:val="00893331"/>
    <w:rsid w:val="008B542A"/>
    <w:rsid w:val="008E0155"/>
    <w:rsid w:val="008E02CB"/>
    <w:rsid w:val="008E1DAA"/>
    <w:rsid w:val="008E38C4"/>
    <w:rsid w:val="008E3A64"/>
    <w:rsid w:val="008E4605"/>
    <w:rsid w:val="008E492F"/>
    <w:rsid w:val="008F02A7"/>
    <w:rsid w:val="008F0E80"/>
    <w:rsid w:val="009026A0"/>
    <w:rsid w:val="00907957"/>
    <w:rsid w:val="00907A7A"/>
    <w:rsid w:val="009106F2"/>
    <w:rsid w:val="00916FAF"/>
    <w:rsid w:val="00923A8F"/>
    <w:rsid w:val="0092727E"/>
    <w:rsid w:val="009273B6"/>
    <w:rsid w:val="00931143"/>
    <w:rsid w:val="009320F4"/>
    <w:rsid w:val="00940856"/>
    <w:rsid w:val="00941B0E"/>
    <w:rsid w:val="00943636"/>
    <w:rsid w:val="009462BD"/>
    <w:rsid w:val="0096120A"/>
    <w:rsid w:val="00961D63"/>
    <w:rsid w:val="00967FAA"/>
    <w:rsid w:val="00972D1C"/>
    <w:rsid w:val="00980901"/>
    <w:rsid w:val="009815C2"/>
    <w:rsid w:val="00983D49"/>
    <w:rsid w:val="00985CC8"/>
    <w:rsid w:val="00986D2A"/>
    <w:rsid w:val="00992657"/>
    <w:rsid w:val="009A2AD5"/>
    <w:rsid w:val="009A7B7C"/>
    <w:rsid w:val="009A7EA8"/>
    <w:rsid w:val="009B4972"/>
    <w:rsid w:val="009B7494"/>
    <w:rsid w:val="009C7D18"/>
    <w:rsid w:val="009E4567"/>
    <w:rsid w:val="009E5076"/>
    <w:rsid w:val="009E64E0"/>
    <w:rsid w:val="00A07ABD"/>
    <w:rsid w:val="00A16E5E"/>
    <w:rsid w:val="00A21F73"/>
    <w:rsid w:val="00A24EE0"/>
    <w:rsid w:val="00A2592C"/>
    <w:rsid w:val="00A27055"/>
    <w:rsid w:val="00A30150"/>
    <w:rsid w:val="00A317B6"/>
    <w:rsid w:val="00A34172"/>
    <w:rsid w:val="00A40FF6"/>
    <w:rsid w:val="00A42C3E"/>
    <w:rsid w:val="00A508DB"/>
    <w:rsid w:val="00A631C0"/>
    <w:rsid w:val="00A71042"/>
    <w:rsid w:val="00A73528"/>
    <w:rsid w:val="00A74392"/>
    <w:rsid w:val="00A93DCC"/>
    <w:rsid w:val="00A95047"/>
    <w:rsid w:val="00AA17C0"/>
    <w:rsid w:val="00AA5013"/>
    <w:rsid w:val="00AA5803"/>
    <w:rsid w:val="00AB41CA"/>
    <w:rsid w:val="00AB7ACF"/>
    <w:rsid w:val="00AC28D2"/>
    <w:rsid w:val="00AD3D2E"/>
    <w:rsid w:val="00AE77F9"/>
    <w:rsid w:val="00AF4072"/>
    <w:rsid w:val="00B06E76"/>
    <w:rsid w:val="00B100D2"/>
    <w:rsid w:val="00B10CF1"/>
    <w:rsid w:val="00B1547C"/>
    <w:rsid w:val="00B24446"/>
    <w:rsid w:val="00B265C5"/>
    <w:rsid w:val="00B320D1"/>
    <w:rsid w:val="00B36287"/>
    <w:rsid w:val="00B47916"/>
    <w:rsid w:val="00B511A1"/>
    <w:rsid w:val="00B5349B"/>
    <w:rsid w:val="00B53FF8"/>
    <w:rsid w:val="00B57630"/>
    <w:rsid w:val="00B64787"/>
    <w:rsid w:val="00B64CC4"/>
    <w:rsid w:val="00B7050E"/>
    <w:rsid w:val="00B70A61"/>
    <w:rsid w:val="00B807DC"/>
    <w:rsid w:val="00B81792"/>
    <w:rsid w:val="00B83F74"/>
    <w:rsid w:val="00B85D1B"/>
    <w:rsid w:val="00B868DB"/>
    <w:rsid w:val="00B86F4D"/>
    <w:rsid w:val="00B87616"/>
    <w:rsid w:val="00B9200E"/>
    <w:rsid w:val="00B94FA7"/>
    <w:rsid w:val="00B95EB8"/>
    <w:rsid w:val="00BA00D4"/>
    <w:rsid w:val="00BA17D5"/>
    <w:rsid w:val="00BB690D"/>
    <w:rsid w:val="00BC08F7"/>
    <w:rsid w:val="00BC16C5"/>
    <w:rsid w:val="00BC3F06"/>
    <w:rsid w:val="00BC5352"/>
    <w:rsid w:val="00BC7C42"/>
    <w:rsid w:val="00BD47FE"/>
    <w:rsid w:val="00BE66AF"/>
    <w:rsid w:val="00BF01F0"/>
    <w:rsid w:val="00BF56FE"/>
    <w:rsid w:val="00C02CAD"/>
    <w:rsid w:val="00C0365E"/>
    <w:rsid w:val="00C0561F"/>
    <w:rsid w:val="00C07DAB"/>
    <w:rsid w:val="00C14240"/>
    <w:rsid w:val="00C164D2"/>
    <w:rsid w:val="00C17322"/>
    <w:rsid w:val="00C17850"/>
    <w:rsid w:val="00C2070D"/>
    <w:rsid w:val="00C20866"/>
    <w:rsid w:val="00C24DCD"/>
    <w:rsid w:val="00C271B9"/>
    <w:rsid w:val="00C304F7"/>
    <w:rsid w:val="00C323F9"/>
    <w:rsid w:val="00C335B4"/>
    <w:rsid w:val="00C33ABD"/>
    <w:rsid w:val="00C35F9A"/>
    <w:rsid w:val="00C37C41"/>
    <w:rsid w:val="00C37D75"/>
    <w:rsid w:val="00C50789"/>
    <w:rsid w:val="00C51332"/>
    <w:rsid w:val="00C621BE"/>
    <w:rsid w:val="00C73616"/>
    <w:rsid w:val="00C7447E"/>
    <w:rsid w:val="00C80C1E"/>
    <w:rsid w:val="00C8366F"/>
    <w:rsid w:val="00C86277"/>
    <w:rsid w:val="00C87E27"/>
    <w:rsid w:val="00C9432B"/>
    <w:rsid w:val="00C94783"/>
    <w:rsid w:val="00C94B63"/>
    <w:rsid w:val="00CA096D"/>
    <w:rsid w:val="00CB15CE"/>
    <w:rsid w:val="00CC592E"/>
    <w:rsid w:val="00CC607D"/>
    <w:rsid w:val="00CD3EA2"/>
    <w:rsid w:val="00CE5011"/>
    <w:rsid w:val="00CE6A70"/>
    <w:rsid w:val="00CF64E4"/>
    <w:rsid w:val="00D0060F"/>
    <w:rsid w:val="00D01649"/>
    <w:rsid w:val="00D01D59"/>
    <w:rsid w:val="00D07C30"/>
    <w:rsid w:val="00D11823"/>
    <w:rsid w:val="00D14953"/>
    <w:rsid w:val="00D159CF"/>
    <w:rsid w:val="00D179F0"/>
    <w:rsid w:val="00D270CA"/>
    <w:rsid w:val="00D306F4"/>
    <w:rsid w:val="00D31D7A"/>
    <w:rsid w:val="00D3282E"/>
    <w:rsid w:val="00D37584"/>
    <w:rsid w:val="00D54998"/>
    <w:rsid w:val="00D61714"/>
    <w:rsid w:val="00D664DB"/>
    <w:rsid w:val="00D66B12"/>
    <w:rsid w:val="00D66CC6"/>
    <w:rsid w:val="00D70BEB"/>
    <w:rsid w:val="00D73995"/>
    <w:rsid w:val="00D763BB"/>
    <w:rsid w:val="00D7683B"/>
    <w:rsid w:val="00D806F5"/>
    <w:rsid w:val="00D8507B"/>
    <w:rsid w:val="00D87E1A"/>
    <w:rsid w:val="00D909F6"/>
    <w:rsid w:val="00D91299"/>
    <w:rsid w:val="00D970A2"/>
    <w:rsid w:val="00DA0FF2"/>
    <w:rsid w:val="00DA13C2"/>
    <w:rsid w:val="00DA1896"/>
    <w:rsid w:val="00DA536A"/>
    <w:rsid w:val="00DB3EFB"/>
    <w:rsid w:val="00DB76E2"/>
    <w:rsid w:val="00DC34AC"/>
    <w:rsid w:val="00DD6D2D"/>
    <w:rsid w:val="00DE723E"/>
    <w:rsid w:val="00DF1A51"/>
    <w:rsid w:val="00DF2A98"/>
    <w:rsid w:val="00E16131"/>
    <w:rsid w:val="00E16296"/>
    <w:rsid w:val="00E1657F"/>
    <w:rsid w:val="00E24DC6"/>
    <w:rsid w:val="00E31E02"/>
    <w:rsid w:val="00E31E6D"/>
    <w:rsid w:val="00E32655"/>
    <w:rsid w:val="00E36072"/>
    <w:rsid w:val="00E36511"/>
    <w:rsid w:val="00E40277"/>
    <w:rsid w:val="00E41E07"/>
    <w:rsid w:val="00E50380"/>
    <w:rsid w:val="00E54376"/>
    <w:rsid w:val="00E5536B"/>
    <w:rsid w:val="00E5679F"/>
    <w:rsid w:val="00E60034"/>
    <w:rsid w:val="00E628F3"/>
    <w:rsid w:val="00E62912"/>
    <w:rsid w:val="00E65F0A"/>
    <w:rsid w:val="00E821FD"/>
    <w:rsid w:val="00E83DB5"/>
    <w:rsid w:val="00E8504B"/>
    <w:rsid w:val="00E9084C"/>
    <w:rsid w:val="00E92F6C"/>
    <w:rsid w:val="00EA335A"/>
    <w:rsid w:val="00EA61E2"/>
    <w:rsid w:val="00EA7B07"/>
    <w:rsid w:val="00EA7BBC"/>
    <w:rsid w:val="00EB3C5F"/>
    <w:rsid w:val="00EC14C3"/>
    <w:rsid w:val="00ED4707"/>
    <w:rsid w:val="00EE17C3"/>
    <w:rsid w:val="00EE3BA6"/>
    <w:rsid w:val="00EE56ED"/>
    <w:rsid w:val="00F02E66"/>
    <w:rsid w:val="00F054BD"/>
    <w:rsid w:val="00F063EF"/>
    <w:rsid w:val="00F06EF6"/>
    <w:rsid w:val="00F078B8"/>
    <w:rsid w:val="00F1009B"/>
    <w:rsid w:val="00F1176D"/>
    <w:rsid w:val="00F12225"/>
    <w:rsid w:val="00F20788"/>
    <w:rsid w:val="00F22502"/>
    <w:rsid w:val="00F34366"/>
    <w:rsid w:val="00F359DD"/>
    <w:rsid w:val="00F406F2"/>
    <w:rsid w:val="00F40F1E"/>
    <w:rsid w:val="00F74E7E"/>
    <w:rsid w:val="00F77EB7"/>
    <w:rsid w:val="00F871BC"/>
    <w:rsid w:val="00F95C6C"/>
    <w:rsid w:val="00FA6513"/>
    <w:rsid w:val="00FC2AFF"/>
    <w:rsid w:val="00FC668D"/>
    <w:rsid w:val="00FD3C98"/>
    <w:rsid w:val="00FF6D80"/>
  </w:rsids>
  <m:mathPr>
    <m:mathFont m:val="Cambria Math"/>
    <m:brkBin m:val="before"/>
    <m:brkBinSub m:val="--"/>
    <m:smallFrac m:val="0"/>
    <m:dispDef/>
    <m:lMargin m:val="0"/>
    <m:rMargin m:val="0"/>
    <m:defJc m:val="centerGroup"/>
    <m:wrapIndent m:val="1440"/>
    <m:intLim m:val="subSup"/>
    <m:naryLim m:val="undOvr"/>
  </m:mathPr>
  <w:themeFontLang w:val="da-DK" w:eastAsia="zh-CN"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C219EC9-08D6-4C27-B326-800B9027D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2" w:qFormat="1"/>
    <w:lsdException w:name="heading 3" w:uiPriority="2" w:qFormat="1"/>
    <w:lsdException w:name="heading 4" w:uiPriority="2" w:qFormat="1"/>
    <w:lsdException w:name="heading 5" w:qFormat="1"/>
    <w:lsdException w:name="heading 6"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2" w:semiHidden="1" w:unhideWhenUsed="1"/>
    <w:lsdException w:name="List 3"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unhideWhenUsed/>
    <w:qFormat/>
    <w:rsid w:val="002D1C59"/>
    <w:pPr>
      <w:spacing w:line="270" w:lineRule="atLeast"/>
    </w:pPr>
    <w:rPr>
      <w:rFonts w:ascii="Arial" w:hAnsi="Arial" w:cs="Arial"/>
    </w:rPr>
  </w:style>
  <w:style w:type="paragraph" w:styleId="Overskrift1">
    <w:name w:val="heading 1"/>
    <w:basedOn w:val="Normal"/>
    <w:next w:val="Brdtekst"/>
    <w:uiPriority w:val="2"/>
    <w:qFormat/>
    <w:rsid w:val="00846716"/>
    <w:pPr>
      <w:keepNext/>
      <w:keepLines/>
      <w:pageBreakBefore/>
      <w:numPr>
        <w:numId w:val="35"/>
      </w:numPr>
      <w:suppressAutoHyphens/>
      <w:spacing w:before="3700" w:after="120" w:line="400" w:lineRule="atLeast"/>
      <w:outlineLvl w:val="0"/>
    </w:pPr>
    <w:rPr>
      <w:sz w:val="36"/>
    </w:rPr>
  </w:style>
  <w:style w:type="paragraph" w:styleId="Overskrift2">
    <w:name w:val="heading 2"/>
    <w:basedOn w:val="Overskrift1"/>
    <w:next w:val="Brdtekst"/>
    <w:uiPriority w:val="2"/>
    <w:qFormat/>
    <w:rsid w:val="00EC14C3"/>
    <w:pPr>
      <w:pageBreakBefore w:val="0"/>
      <w:numPr>
        <w:ilvl w:val="1"/>
      </w:numPr>
      <w:spacing w:before="540" w:after="90" w:line="360" w:lineRule="atLeast"/>
      <w:outlineLvl w:val="1"/>
    </w:pPr>
    <w:rPr>
      <w:sz w:val="32"/>
    </w:rPr>
  </w:style>
  <w:style w:type="paragraph" w:styleId="Overskrift3">
    <w:name w:val="heading 3"/>
    <w:basedOn w:val="Overskrift2"/>
    <w:next w:val="Brdtekst"/>
    <w:uiPriority w:val="2"/>
    <w:qFormat/>
    <w:rsid w:val="00EC14C3"/>
    <w:pPr>
      <w:numPr>
        <w:ilvl w:val="2"/>
      </w:numPr>
      <w:spacing w:after="60" w:line="320" w:lineRule="atLeast"/>
      <w:outlineLvl w:val="2"/>
    </w:pPr>
    <w:rPr>
      <w:sz w:val="28"/>
    </w:rPr>
  </w:style>
  <w:style w:type="paragraph" w:styleId="Overskrift4">
    <w:name w:val="heading 4"/>
    <w:basedOn w:val="Overskrift3"/>
    <w:next w:val="Brdtekst"/>
    <w:uiPriority w:val="2"/>
    <w:qFormat/>
    <w:rsid w:val="006E7875"/>
    <w:pPr>
      <w:numPr>
        <w:ilvl w:val="0"/>
        <w:numId w:val="0"/>
      </w:numPr>
      <w:spacing w:before="240" w:line="280" w:lineRule="atLeast"/>
      <w:outlineLvl w:val="3"/>
    </w:pPr>
    <w:rPr>
      <w:sz w:val="24"/>
    </w:rPr>
  </w:style>
  <w:style w:type="paragraph" w:styleId="Overskrift5">
    <w:name w:val="heading 5"/>
    <w:basedOn w:val="Overskrift4"/>
    <w:next w:val="Brdtekst"/>
    <w:uiPriority w:val="2"/>
    <w:unhideWhenUsed/>
    <w:qFormat/>
    <w:rsid w:val="006E7875"/>
    <w:pPr>
      <w:outlineLvl w:val="4"/>
    </w:pPr>
  </w:style>
  <w:style w:type="paragraph" w:styleId="Overskrift6">
    <w:name w:val="heading 6"/>
    <w:basedOn w:val="Normal"/>
    <w:next w:val="Normal"/>
    <w:uiPriority w:val="2"/>
    <w:semiHidden/>
    <w:unhideWhenUsed/>
    <w:qFormat/>
    <w:pPr>
      <w:numPr>
        <w:ilvl w:val="5"/>
        <w:numId w:val="20"/>
      </w:numPr>
      <w:spacing w:before="240" w:after="60"/>
      <w:outlineLvl w:val="5"/>
    </w:pPr>
    <w:rPr>
      <w:i/>
    </w:rPr>
  </w:style>
  <w:style w:type="paragraph" w:styleId="Overskrift7">
    <w:name w:val="heading 7"/>
    <w:basedOn w:val="Normal"/>
    <w:next w:val="Brdtekst"/>
    <w:uiPriority w:val="2"/>
    <w:qFormat/>
    <w:rsid w:val="00EC14C3"/>
    <w:pPr>
      <w:keepNext/>
      <w:keepLines/>
      <w:pageBreakBefore/>
      <w:numPr>
        <w:ilvl w:val="6"/>
        <w:numId w:val="35"/>
      </w:numPr>
      <w:suppressAutoHyphens/>
      <w:spacing w:after="120" w:line="400" w:lineRule="atLeast"/>
      <w:ind w:left="1701" w:hanging="1701"/>
      <w:outlineLvl w:val="6"/>
    </w:pPr>
    <w:rPr>
      <w:sz w:val="36"/>
      <w:szCs w:val="32"/>
    </w:rPr>
  </w:style>
  <w:style w:type="paragraph" w:styleId="Overskrift8">
    <w:name w:val="heading 8"/>
    <w:basedOn w:val="Overskrift7"/>
    <w:next w:val="Brdtekst"/>
    <w:uiPriority w:val="2"/>
    <w:unhideWhenUsed/>
    <w:qFormat/>
    <w:rsid w:val="00EC14C3"/>
    <w:pPr>
      <w:pageBreakBefore w:val="0"/>
      <w:numPr>
        <w:ilvl w:val="7"/>
      </w:numPr>
      <w:spacing w:before="540" w:after="90" w:line="360" w:lineRule="atLeast"/>
      <w:outlineLvl w:val="7"/>
    </w:pPr>
    <w:rPr>
      <w:sz w:val="32"/>
    </w:rPr>
  </w:style>
  <w:style w:type="paragraph" w:styleId="Overskrift9">
    <w:name w:val="heading 9"/>
    <w:basedOn w:val="Overskrift8"/>
    <w:next w:val="Brdtekst"/>
    <w:uiPriority w:val="2"/>
    <w:unhideWhenUsed/>
    <w:qFormat/>
    <w:rsid w:val="00EC14C3"/>
    <w:pPr>
      <w:numPr>
        <w:ilvl w:val="8"/>
      </w:numPr>
      <w:spacing w:after="60" w:line="320" w:lineRule="atLeast"/>
      <w:outlineLvl w:val="8"/>
    </w:pPr>
    <w:rPr>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semiHidden/>
    <w:rsid w:val="005333FA"/>
    <w:pPr>
      <w:spacing w:line="160" w:lineRule="atLeast"/>
      <w:ind w:left="-2268"/>
      <w:jc w:val="right"/>
    </w:pPr>
    <w:rPr>
      <w:caps/>
      <w:color w:val="333333"/>
      <w:sz w:val="14"/>
    </w:rPr>
  </w:style>
  <w:style w:type="paragraph" w:styleId="Brdtekst">
    <w:name w:val="Body Text"/>
    <w:basedOn w:val="Normal"/>
    <w:rsid w:val="003E691A"/>
    <w:pPr>
      <w:spacing w:after="280" w:line="280" w:lineRule="atLeast"/>
    </w:pPr>
  </w:style>
  <w:style w:type="paragraph" w:customStyle="1" w:styleId="BodyMargin">
    <w:name w:val="Body Margin"/>
    <w:basedOn w:val="Brdtekst"/>
    <w:next w:val="Brdtekst"/>
    <w:uiPriority w:val="1"/>
    <w:pPr>
      <w:ind w:hanging="2268"/>
    </w:pPr>
  </w:style>
  <w:style w:type="paragraph" w:styleId="Sidefod">
    <w:name w:val="footer"/>
    <w:basedOn w:val="FooterEven"/>
    <w:semiHidden/>
    <w:rsid w:val="00D70BEB"/>
    <w:pPr>
      <w:jc w:val="right"/>
    </w:pPr>
  </w:style>
  <w:style w:type="paragraph" w:customStyle="1" w:styleId="MarginFrame">
    <w:name w:val="Margin Frame"/>
    <w:basedOn w:val="Normal"/>
    <w:uiPriority w:val="7"/>
    <w:semiHidden/>
    <w:rsid w:val="00D8507B"/>
    <w:pPr>
      <w:keepNext/>
      <w:keepLines/>
      <w:framePr w:w="1871" w:wrap="around" w:vAnchor="text" w:hAnchor="margin" w:x="-2267" w:y="1"/>
    </w:pPr>
  </w:style>
  <w:style w:type="paragraph" w:styleId="Indholdsfortegnelse1">
    <w:name w:val="toc 1"/>
    <w:basedOn w:val="Normal"/>
    <w:next w:val="Normal"/>
    <w:uiPriority w:val="39"/>
    <w:rsid w:val="002D1C59"/>
    <w:pPr>
      <w:keepNext/>
      <w:keepLines/>
      <w:tabs>
        <w:tab w:val="right" w:pos="7343"/>
      </w:tabs>
      <w:suppressAutoHyphens/>
      <w:spacing w:before="400" w:after="40" w:line="280" w:lineRule="atLeast"/>
      <w:ind w:left="851" w:right="1134" w:hanging="851"/>
    </w:pPr>
    <w:rPr>
      <w:noProof/>
      <w:sz w:val="24"/>
    </w:rPr>
  </w:style>
  <w:style w:type="paragraph" w:customStyle="1" w:styleId="BodyTextNoSpace">
    <w:name w:val="Body Text NoSpace"/>
    <w:basedOn w:val="Brdtekst"/>
    <w:pPr>
      <w:spacing w:after="0"/>
    </w:pPr>
  </w:style>
  <w:style w:type="paragraph" w:customStyle="1" w:styleId="BodyMarginNoSpace">
    <w:name w:val="Body Margin NoSpace"/>
    <w:basedOn w:val="BodyMargin"/>
    <w:next w:val="BodyTextNoSpace"/>
    <w:uiPriority w:val="1"/>
    <w:pPr>
      <w:spacing w:after="0"/>
    </w:pPr>
  </w:style>
  <w:style w:type="paragraph" w:styleId="Indholdsfortegnelse2">
    <w:name w:val="toc 2"/>
    <w:basedOn w:val="Indholdsfortegnelse1"/>
    <w:next w:val="Normal"/>
    <w:uiPriority w:val="39"/>
    <w:rsid w:val="00731E10"/>
    <w:pPr>
      <w:keepNext w:val="0"/>
      <w:spacing w:before="0"/>
    </w:pPr>
    <w:rPr>
      <w:color w:val="333333"/>
    </w:rPr>
  </w:style>
  <w:style w:type="paragraph" w:styleId="Opstilling-punkttegn">
    <w:name w:val="List Bullet"/>
    <w:basedOn w:val="Brdtekst"/>
    <w:uiPriority w:val="4"/>
    <w:rsid w:val="001E10AC"/>
    <w:pPr>
      <w:numPr>
        <w:numId w:val="31"/>
      </w:numPr>
    </w:pPr>
  </w:style>
  <w:style w:type="paragraph" w:styleId="Opstilling-punkttegn2">
    <w:name w:val="List Bullet 2"/>
    <w:basedOn w:val="Opstilling-punkttegn"/>
    <w:uiPriority w:val="4"/>
    <w:pPr>
      <w:numPr>
        <w:ilvl w:val="1"/>
      </w:numPr>
    </w:pPr>
  </w:style>
  <w:style w:type="numbering" w:customStyle="1" w:styleId="CowiBulletList">
    <w:name w:val="CowiBulletList"/>
    <w:basedOn w:val="Ingenoversigt"/>
    <w:rsid w:val="001E10AC"/>
    <w:pPr>
      <w:numPr>
        <w:numId w:val="31"/>
      </w:numPr>
    </w:pPr>
  </w:style>
  <w:style w:type="numbering" w:customStyle="1" w:styleId="CowiNumberList">
    <w:name w:val="CowiNumberList"/>
    <w:basedOn w:val="Ingenoversigt"/>
    <w:pPr>
      <w:numPr>
        <w:numId w:val="32"/>
      </w:numPr>
    </w:pPr>
  </w:style>
  <w:style w:type="paragraph" w:styleId="Billedtekst">
    <w:name w:val="caption"/>
    <w:basedOn w:val="Normal"/>
    <w:next w:val="Brdtekst"/>
    <w:uiPriority w:val="3"/>
    <w:qFormat/>
    <w:rsid w:val="00D8507B"/>
    <w:pPr>
      <w:spacing w:before="140" w:after="140" w:line="240" w:lineRule="atLeast"/>
      <w:ind w:left="1276" w:hanging="1276"/>
    </w:pPr>
    <w:rPr>
      <w:i/>
      <w:sz w:val="17"/>
    </w:rPr>
  </w:style>
  <w:style w:type="paragraph" w:styleId="Opstilling-forts">
    <w:name w:val="List Continue"/>
    <w:basedOn w:val="Brdtekst"/>
    <w:uiPriority w:val="6"/>
    <w:pPr>
      <w:ind w:left="425"/>
    </w:pPr>
  </w:style>
  <w:style w:type="paragraph" w:styleId="Opstilling-forts2">
    <w:name w:val="List Continue 2"/>
    <w:basedOn w:val="Opstilling-forts"/>
    <w:uiPriority w:val="6"/>
    <w:pPr>
      <w:ind w:left="851"/>
    </w:pPr>
  </w:style>
  <w:style w:type="paragraph" w:styleId="Opstilling-talellerbogst">
    <w:name w:val="List Number"/>
    <w:basedOn w:val="Brdtekst"/>
    <w:uiPriority w:val="4"/>
    <w:pPr>
      <w:numPr>
        <w:numId w:val="34"/>
      </w:numPr>
    </w:pPr>
  </w:style>
  <w:style w:type="paragraph" w:styleId="Opstilling-talellerbogst2">
    <w:name w:val="List Number 2"/>
    <w:basedOn w:val="Opstilling-talellerbogst"/>
    <w:uiPriority w:val="4"/>
    <w:pPr>
      <w:numPr>
        <w:ilvl w:val="1"/>
      </w:numPr>
    </w:pPr>
  </w:style>
  <w:style w:type="paragraph" w:customStyle="1" w:styleId="ListContinueNoSpace">
    <w:name w:val="List Continue NoSpace"/>
    <w:basedOn w:val="Opstilling-forts"/>
    <w:uiPriority w:val="6"/>
    <w:pPr>
      <w:spacing w:after="0"/>
    </w:pPr>
  </w:style>
  <w:style w:type="paragraph" w:customStyle="1" w:styleId="ListContinue2NoSpace">
    <w:name w:val="List Continue 2 NoSpace"/>
    <w:basedOn w:val="Opstilling-forts2"/>
    <w:uiPriority w:val="6"/>
    <w:pPr>
      <w:spacing w:after="0"/>
    </w:pPr>
  </w:style>
  <w:style w:type="paragraph" w:customStyle="1" w:styleId="ListBulletNoSpace">
    <w:name w:val="List Bullet NoSpace"/>
    <w:basedOn w:val="Opstilling-punkttegn"/>
    <w:uiPriority w:val="4"/>
    <w:qFormat/>
    <w:pPr>
      <w:spacing w:after="0"/>
    </w:pPr>
  </w:style>
  <w:style w:type="paragraph" w:customStyle="1" w:styleId="ListHanging">
    <w:name w:val="List Hanging"/>
    <w:basedOn w:val="Brdtekst"/>
    <w:uiPriority w:val="7"/>
    <w:pPr>
      <w:ind w:left="1701" w:hanging="1701"/>
    </w:pPr>
  </w:style>
  <w:style w:type="paragraph" w:customStyle="1" w:styleId="ListHangingNoSpace">
    <w:name w:val="List Hanging NoSpace"/>
    <w:basedOn w:val="ListHanging"/>
    <w:uiPriority w:val="7"/>
    <w:pPr>
      <w:spacing w:after="0"/>
    </w:pPr>
  </w:style>
  <w:style w:type="paragraph" w:customStyle="1" w:styleId="Table">
    <w:name w:val="Table"/>
    <w:basedOn w:val="Normal"/>
    <w:uiPriority w:val="8"/>
    <w:semiHidden/>
    <w:unhideWhenUsed/>
    <w:rsid w:val="000635AD"/>
    <w:pPr>
      <w:spacing w:before="60" w:after="120" w:line="220" w:lineRule="atLeast"/>
    </w:pPr>
    <w:rPr>
      <w:rFonts w:ascii="Verdana" w:hAnsi="Verdana"/>
      <w:sz w:val="16"/>
    </w:rPr>
  </w:style>
  <w:style w:type="paragraph" w:styleId="Indholdsfortegnelse3">
    <w:name w:val="toc 3"/>
    <w:basedOn w:val="Indholdsfortegnelse2"/>
    <w:next w:val="Normal"/>
    <w:uiPriority w:val="9"/>
    <w:semiHidden/>
    <w:unhideWhenUsed/>
  </w:style>
  <w:style w:type="paragraph" w:styleId="Underskrift">
    <w:name w:val="Signature"/>
    <w:basedOn w:val="Brdtekst"/>
    <w:semiHidden/>
    <w:unhideWhenUsed/>
    <w:pPr>
      <w:spacing w:after="0" w:line="220" w:lineRule="atLeast"/>
    </w:pPr>
    <w:rPr>
      <w:sz w:val="18"/>
    </w:rPr>
  </w:style>
  <w:style w:type="table" w:styleId="Tabel-Gitter6">
    <w:name w:val="Table Grid 6"/>
    <w:basedOn w:val="Tabel-Normal"/>
    <w:semiHidden/>
    <w:pPr>
      <w:spacing w:line="27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Small">
    <w:name w:val="FrontPageSmall"/>
    <w:basedOn w:val="Normal"/>
    <w:uiPriority w:val="7"/>
    <w:semiHidden/>
    <w:qFormat/>
    <w:rsid w:val="00E36072"/>
    <w:pPr>
      <w:keepNext/>
      <w:keepLines/>
      <w:suppressAutoHyphens/>
      <w:spacing w:line="220" w:lineRule="atLeast"/>
    </w:pPr>
    <w:rPr>
      <w:caps/>
      <w:sz w:val="18"/>
    </w:rPr>
  </w:style>
  <w:style w:type="paragraph" w:styleId="Opstilling-punkttegn3">
    <w:name w:val="List Bullet 3"/>
    <w:basedOn w:val="Opstilling-punkttegn2"/>
    <w:uiPriority w:val="4"/>
    <w:pPr>
      <w:numPr>
        <w:ilvl w:val="2"/>
      </w:numPr>
      <w:tabs>
        <w:tab w:val="left" w:pos="1276"/>
      </w:tabs>
    </w:pPr>
  </w:style>
  <w:style w:type="paragraph" w:styleId="Opstilling-forts3">
    <w:name w:val="List Continue 3"/>
    <w:basedOn w:val="Opstilling-forts2"/>
    <w:uiPriority w:val="6"/>
    <w:pPr>
      <w:ind w:left="1276"/>
    </w:pPr>
  </w:style>
  <w:style w:type="paragraph" w:styleId="Opstilling-talellerbogst3">
    <w:name w:val="List Number 3"/>
    <w:basedOn w:val="Opstilling-talellerbogst2"/>
    <w:uiPriority w:val="4"/>
    <w:pPr>
      <w:numPr>
        <w:ilvl w:val="2"/>
      </w:numPr>
      <w:tabs>
        <w:tab w:val="left" w:pos="1276"/>
      </w:tabs>
    </w:pPr>
  </w:style>
  <w:style w:type="paragraph" w:customStyle="1" w:styleId="ListBullet2NoSpace">
    <w:name w:val="List Bullet 2 NoSpace"/>
    <w:basedOn w:val="Opstilling-punkttegn2"/>
    <w:uiPriority w:val="4"/>
    <w:qFormat/>
    <w:pPr>
      <w:spacing w:after="0"/>
      <w:ind w:left="850" w:hanging="425"/>
    </w:pPr>
  </w:style>
  <w:style w:type="paragraph" w:customStyle="1" w:styleId="ListContinue3NoSpace">
    <w:name w:val="List Continue 3 NoSpace"/>
    <w:basedOn w:val="Opstilling-forts3"/>
    <w:uiPriority w:val="6"/>
    <w:pPr>
      <w:spacing w:after="0"/>
    </w:pPr>
  </w:style>
  <w:style w:type="paragraph" w:customStyle="1" w:styleId="ListBullet3NoSpace">
    <w:name w:val="List Bullet 3 NoSpace"/>
    <w:basedOn w:val="Opstilling-punkttegn3"/>
    <w:uiPriority w:val="4"/>
    <w:qFormat/>
    <w:pPr>
      <w:spacing w:after="0"/>
    </w:pPr>
  </w:style>
  <w:style w:type="paragraph" w:customStyle="1" w:styleId="ListContinue0">
    <w:name w:val="List Continue 0"/>
    <w:basedOn w:val="Opstilling-forts"/>
    <w:uiPriority w:val="6"/>
    <w:pPr>
      <w:ind w:left="0"/>
    </w:pPr>
  </w:style>
  <w:style w:type="paragraph" w:customStyle="1" w:styleId="ListContinue0NoSpace">
    <w:name w:val="List Continue 0 NoSpace"/>
    <w:basedOn w:val="ListContinue0"/>
    <w:uiPriority w:val="6"/>
    <w:pPr>
      <w:spacing w:after="0"/>
    </w:pPr>
  </w:style>
  <w:style w:type="paragraph" w:customStyle="1" w:styleId="CaptionMargin">
    <w:name w:val="Caption Margin"/>
    <w:basedOn w:val="Billedtekst"/>
    <w:next w:val="Brdtekst"/>
    <w:uiPriority w:val="3"/>
    <w:pPr>
      <w:ind w:left="-992"/>
    </w:pPr>
  </w:style>
  <w:style w:type="paragraph" w:customStyle="1" w:styleId="FrontPage">
    <w:name w:val="FrontPage"/>
    <w:basedOn w:val="FrontPageSmall"/>
    <w:next w:val="FrontPageSmall"/>
    <w:uiPriority w:val="7"/>
    <w:semiHidden/>
    <w:qFormat/>
    <w:rsid w:val="00AD3D2E"/>
    <w:pPr>
      <w:spacing w:before="240" w:after="240" w:line="680" w:lineRule="atLeast"/>
    </w:pPr>
    <w:rPr>
      <w:color w:val="333333"/>
      <w:sz w:val="56"/>
      <w:szCs w:val="56"/>
    </w:rPr>
  </w:style>
  <w:style w:type="paragraph" w:styleId="Indholdsfortegnelse7">
    <w:name w:val="toc 7"/>
    <w:basedOn w:val="Indholdsfortegnelse2"/>
    <w:next w:val="Normal"/>
    <w:semiHidden/>
    <w:rsid w:val="00846716"/>
    <w:pPr>
      <w:spacing w:before="400"/>
      <w:ind w:left="1276" w:hanging="1276"/>
    </w:pPr>
  </w:style>
  <w:style w:type="paragraph" w:customStyle="1" w:styleId="HeaderFrame">
    <w:name w:val="HeaderFrame"/>
    <w:basedOn w:val="Sidehoved"/>
    <w:next w:val="Normal"/>
    <w:semiHidden/>
    <w:rsid w:val="00886751"/>
    <w:pPr>
      <w:framePr w:wrap="around" w:vAnchor="text" w:hAnchor="margin" w:xAlign="right" w:y="1"/>
      <w:ind w:left="0"/>
    </w:pPr>
  </w:style>
  <w:style w:type="paragraph" w:customStyle="1" w:styleId="CowiTitle">
    <w:name w:val="CowiTitle"/>
    <w:basedOn w:val="FrontPage"/>
    <w:next w:val="FrontPageSmall"/>
    <w:uiPriority w:val="7"/>
    <w:qFormat/>
    <w:rsid w:val="00A508DB"/>
  </w:style>
  <w:style w:type="paragraph" w:styleId="Bloktekst">
    <w:name w:val="Block Text"/>
    <w:basedOn w:val="Normal"/>
    <w:semiHidden/>
    <w:pPr>
      <w:spacing w:after="120"/>
      <w:ind w:left="1440" w:right="1440"/>
    </w:pPr>
  </w:style>
  <w:style w:type="paragraph" w:customStyle="1" w:styleId="FrontPageFrame">
    <w:name w:val="FrontPageFrame"/>
    <w:basedOn w:val="Normal"/>
    <w:semiHidden/>
    <w:rsid w:val="00C17322"/>
    <w:pPr>
      <w:framePr w:wrap="around" w:hAnchor="margin" w:x="1" w:yAlign="bottom"/>
      <w:tabs>
        <w:tab w:val="left" w:pos="1134"/>
      </w:tabs>
      <w:spacing w:line="240" w:lineRule="atLeast"/>
    </w:pPr>
    <w:rPr>
      <w:sz w:val="14"/>
    </w:rPr>
  </w:style>
  <w:style w:type="paragraph" w:customStyle="1" w:styleId="ContentsPage">
    <w:name w:val="ContentsPage"/>
    <w:basedOn w:val="Normal"/>
    <w:next w:val="Brdtekst"/>
    <w:semiHidden/>
    <w:rsid w:val="006C5691"/>
    <w:pPr>
      <w:keepNext/>
      <w:keepLines/>
      <w:pageBreakBefore/>
      <w:suppressAutoHyphens/>
      <w:spacing w:before="3500" w:line="480" w:lineRule="atLeast"/>
    </w:pPr>
    <w:rPr>
      <w:caps/>
      <w:color w:val="F04E23"/>
      <w:sz w:val="48"/>
    </w:rPr>
  </w:style>
  <w:style w:type="paragraph" w:customStyle="1" w:styleId="AppendixPage">
    <w:name w:val="AppendixPage"/>
    <w:basedOn w:val="ContentsPage"/>
    <w:next w:val="BodyTextNoSpace"/>
    <w:semiHidden/>
    <w:unhideWhenUsed/>
    <w:rsid w:val="00275AAC"/>
    <w:pPr>
      <w:pageBreakBefore w:val="0"/>
      <w:spacing w:before="0" w:after="400"/>
    </w:pPr>
  </w:style>
  <w:style w:type="paragraph" w:customStyle="1" w:styleId="Appendix">
    <w:name w:val="Appendix"/>
    <w:basedOn w:val="Normal"/>
    <w:next w:val="Brdtekst"/>
    <w:semiHidden/>
    <w:unhideWhenUsed/>
    <w:pPr>
      <w:keepNext/>
      <w:keepLines/>
      <w:pageBreakBefore/>
      <w:suppressAutoHyphens/>
      <w:spacing w:after="130" w:line="320" w:lineRule="exact"/>
      <w:outlineLvl w:val="6"/>
    </w:pPr>
    <w:rPr>
      <w:b/>
      <w:sz w:val="32"/>
    </w:rPr>
  </w:style>
  <w:style w:type="paragraph" w:customStyle="1" w:styleId="HeaderEven">
    <w:name w:val="HeaderEven"/>
    <w:basedOn w:val="Sidehoved"/>
    <w:semiHidden/>
    <w:rsid w:val="00CB15CE"/>
    <w:pPr>
      <w:tabs>
        <w:tab w:val="left" w:pos="-1814"/>
      </w:tabs>
      <w:ind w:left="-1814" w:hanging="454"/>
      <w:jc w:val="left"/>
    </w:pPr>
    <w:rPr>
      <w:szCs w:val="14"/>
    </w:rPr>
  </w:style>
  <w:style w:type="numbering" w:styleId="111111">
    <w:name w:val="Outline List 2"/>
    <w:basedOn w:val="Ingenoversigt"/>
    <w:pPr>
      <w:numPr>
        <w:numId w:val="23"/>
      </w:numPr>
    </w:pPr>
  </w:style>
  <w:style w:type="numbering" w:styleId="1ai">
    <w:name w:val="Outline List 1"/>
    <w:basedOn w:val="Ingenoversigt"/>
    <w:pPr>
      <w:numPr>
        <w:numId w:val="24"/>
      </w:numPr>
    </w:pPr>
  </w:style>
  <w:style w:type="numbering" w:styleId="ArtikelSektion">
    <w:name w:val="Outline List 3"/>
    <w:basedOn w:val="Ingenoversigt"/>
    <w:pPr>
      <w:numPr>
        <w:numId w:val="25"/>
      </w:numPr>
    </w:pPr>
  </w:style>
  <w:style w:type="paragraph" w:styleId="Markeringsbobletekst">
    <w:name w:val="Balloon Text"/>
    <w:basedOn w:val="Normal"/>
    <w:semiHidden/>
    <w:rPr>
      <w:rFonts w:ascii="Tahoma" w:hAnsi="Tahoma" w:cs="Tahoma"/>
      <w:sz w:val="16"/>
      <w:szCs w:val="16"/>
    </w:rPr>
  </w:style>
  <w:style w:type="paragraph" w:styleId="Brdtekst2">
    <w:name w:val="Body Text 2"/>
    <w:basedOn w:val="Normal"/>
    <w:semiHidden/>
    <w:unhideWhenUsed/>
    <w:pPr>
      <w:spacing w:after="120" w:line="480" w:lineRule="auto"/>
    </w:pPr>
  </w:style>
  <w:style w:type="paragraph" w:styleId="Brdtekst3">
    <w:name w:val="Body Text 3"/>
    <w:basedOn w:val="Normal"/>
    <w:semiHidden/>
    <w:unhideWhenUsed/>
    <w:pPr>
      <w:spacing w:after="120"/>
    </w:pPr>
    <w:rPr>
      <w:sz w:val="16"/>
      <w:szCs w:val="16"/>
    </w:rPr>
  </w:style>
  <w:style w:type="paragraph" w:styleId="Brdtekst-frstelinjeindrykning1">
    <w:name w:val="Body Text First Indent"/>
    <w:basedOn w:val="Brdtekst"/>
    <w:semiHidden/>
    <w:unhideWhenUsed/>
    <w:pPr>
      <w:spacing w:after="120"/>
      <w:ind w:firstLine="210"/>
    </w:pPr>
  </w:style>
  <w:style w:type="paragraph" w:styleId="Brdtekstindrykning">
    <w:name w:val="Body Text Indent"/>
    <w:basedOn w:val="Normal"/>
    <w:semiHidden/>
    <w:unhideWhenUsed/>
    <w:pPr>
      <w:spacing w:after="120"/>
      <w:ind w:left="283"/>
    </w:pPr>
  </w:style>
  <w:style w:type="paragraph" w:styleId="Brdtekst-frstelinjeindrykning2">
    <w:name w:val="Body Text First Indent 2"/>
    <w:basedOn w:val="Brdtekstindrykning"/>
    <w:semiHidden/>
    <w:unhideWhenUsed/>
    <w:pPr>
      <w:ind w:firstLine="210"/>
    </w:pPr>
  </w:style>
  <w:style w:type="paragraph" w:styleId="Brdtekstindrykning2">
    <w:name w:val="Body Text Indent 2"/>
    <w:basedOn w:val="Normal"/>
    <w:semiHidden/>
    <w:unhideWhenUsed/>
    <w:pPr>
      <w:spacing w:after="120" w:line="480" w:lineRule="auto"/>
      <w:ind w:left="283"/>
    </w:pPr>
  </w:style>
  <w:style w:type="paragraph" w:styleId="Brdtekstindrykning3">
    <w:name w:val="Body Text Indent 3"/>
    <w:basedOn w:val="Normal"/>
    <w:semiHidden/>
    <w:unhideWhenUsed/>
    <w:pPr>
      <w:spacing w:after="120"/>
      <w:ind w:left="283"/>
    </w:pPr>
    <w:rPr>
      <w:sz w:val="16"/>
      <w:szCs w:val="16"/>
    </w:rPr>
  </w:style>
  <w:style w:type="paragraph" w:styleId="Sluthilsen">
    <w:name w:val="Closing"/>
    <w:basedOn w:val="Normal"/>
    <w:semiHidden/>
    <w:unhideWhenUsed/>
    <w:pPr>
      <w:ind w:left="4252"/>
    </w:pPr>
  </w:style>
  <w:style w:type="character" w:styleId="Kommentarhenvisning">
    <w:name w:val="annotation reference"/>
    <w:basedOn w:val="Standardskrifttypeiafsnit"/>
    <w:semiHidden/>
    <w:rPr>
      <w:sz w:val="16"/>
      <w:szCs w:val="16"/>
    </w:rPr>
  </w:style>
  <w:style w:type="paragraph" w:styleId="Kommentartekst">
    <w:name w:val="annotation text"/>
    <w:basedOn w:val="Normal"/>
    <w:semiHidden/>
  </w:style>
  <w:style w:type="paragraph" w:styleId="Kommentaremne">
    <w:name w:val="annotation subject"/>
    <w:basedOn w:val="Kommentartekst"/>
    <w:next w:val="Kommentartekst"/>
    <w:semiHidden/>
    <w:rPr>
      <w:b/>
      <w:bCs/>
    </w:rPr>
  </w:style>
  <w:style w:type="paragraph" w:styleId="Dato">
    <w:name w:val="Date"/>
    <w:basedOn w:val="Normal"/>
    <w:next w:val="Normal"/>
    <w:semiHidden/>
    <w:unhideWhenUsed/>
  </w:style>
  <w:style w:type="paragraph" w:styleId="Dokumentoversigt">
    <w:name w:val="Document Map"/>
    <w:basedOn w:val="Normal"/>
    <w:semiHidden/>
    <w:pPr>
      <w:shd w:val="clear" w:color="auto" w:fill="000080"/>
    </w:pPr>
    <w:rPr>
      <w:rFonts w:ascii="Tahoma" w:hAnsi="Tahoma" w:cs="Tahoma"/>
    </w:rPr>
  </w:style>
  <w:style w:type="paragraph" w:styleId="Mailsignatur">
    <w:name w:val="E-mail Signature"/>
    <w:basedOn w:val="Normal"/>
    <w:semiHidden/>
    <w:unhideWhenUsed/>
  </w:style>
  <w:style w:type="character" w:styleId="Fremhv">
    <w:name w:val="Emphasis"/>
    <w:basedOn w:val="Standardskrifttypeiafsnit"/>
    <w:uiPriority w:val="20"/>
    <w:unhideWhenUsed/>
    <w:qFormat/>
    <w:rPr>
      <w:i/>
      <w:iCs/>
    </w:rPr>
  </w:style>
  <w:style w:type="character" w:styleId="Slutnotehenvisning">
    <w:name w:val="endnote reference"/>
    <w:basedOn w:val="Standardskrifttypeiafsnit"/>
    <w:semiHidden/>
    <w:rPr>
      <w:vertAlign w:val="superscript"/>
    </w:rPr>
  </w:style>
  <w:style w:type="paragraph" w:styleId="Slutnotetekst">
    <w:name w:val="endnote text"/>
    <w:basedOn w:val="Normal"/>
    <w:semiHidden/>
  </w:style>
  <w:style w:type="paragraph" w:styleId="Modtageradresse">
    <w:name w:val="envelope address"/>
    <w:basedOn w:val="Normal"/>
    <w:semiHidden/>
    <w:unhideWhenUsed/>
    <w:pPr>
      <w:framePr w:w="7920" w:h="1980" w:hRule="exact" w:hSpace="141" w:wrap="auto" w:hAnchor="page" w:xAlign="center" w:yAlign="bottom"/>
      <w:ind w:left="2880"/>
    </w:pPr>
    <w:rPr>
      <w:sz w:val="24"/>
      <w:szCs w:val="24"/>
    </w:rPr>
  </w:style>
  <w:style w:type="paragraph" w:styleId="Afsenderadresse">
    <w:name w:val="envelope return"/>
    <w:basedOn w:val="Normal"/>
    <w:semiHidden/>
    <w:unhideWhenUsed/>
  </w:style>
  <w:style w:type="character" w:styleId="BesgtLink">
    <w:name w:val="FollowedHyperlink"/>
    <w:basedOn w:val="Standardskrifttypeiafsnit"/>
    <w:semiHidden/>
    <w:unhideWhenUsed/>
    <w:rPr>
      <w:color w:val="800080"/>
      <w:u w:val="single"/>
    </w:rPr>
  </w:style>
  <w:style w:type="character" w:styleId="Fodnotehenvisning">
    <w:name w:val="footnote reference"/>
    <w:basedOn w:val="Standardskrifttypeiafsnit"/>
    <w:semiHidden/>
    <w:rPr>
      <w:vertAlign w:val="superscript"/>
    </w:rPr>
  </w:style>
  <w:style w:type="paragraph" w:styleId="Fodnotetekst">
    <w:name w:val="footnote text"/>
    <w:basedOn w:val="Normal"/>
    <w:semiHidden/>
  </w:style>
  <w:style w:type="character" w:styleId="HTML-akronym">
    <w:name w:val="HTML Acronym"/>
    <w:basedOn w:val="Standardskrifttypeiafsnit"/>
    <w:semiHidden/>
    <w:unhideWhenUsed/>
  </w:style>
  <w:style w:type="paragraph" w:styleId="HTML-adresse">
    <w:name w:val="HTML Address"/>
    <w:basedOn w:val="Normal"/>
    <w:semiHidden/>
    <w:unhideWhenUsed/>
    <w:rPr>
      <w:i/>
      <w:iCs/>
    </w:rPr>
  </w:style>
  <w:style w:type="character" w:styleId="HTML-citat">
    <w:name w:val="HTML Cite"/>
    <w:basedOn w:val="Standardskrifttypeiafsnit"/>
    <w:semiHidden/>
    <w:unhideWhenUsed/>
    <w:rPr>
      <w:i/>
      <w:iCs/>
    </w:rPr>
  </w:style>
  <w:style w:type="character" w:styleId="HTML-kode">
    <w:name w:val="HTML Code"/>
    <w:basedOn w:val="Standardskrifttypeiafsnit"/>
    <w:semiHidden/>
    <w:unhideWhenUsed/>
    <w:rPr>
      <w:rFonts w:ascii="Courier New" w:hAnsi="Courier New" w:cs="Courier New"/>
      <w:sz w:val="20"/>
      <w:szCs w:val="20"/>
    </w:rPr>
  </w:style>
  <w:style w:type="character" w:styleId="HTML-definition">
    <w:name w:val="HTML Definition"/>
    <w:basedOn w:val="Standardskrifttypeiafsnit"/>
    <w:semiHidden/>
    <w:unhideWhenUsed/>
    <w:rPr>
      <w:i/>
      <w:iCs/>
    </w:rPr>
  </w:style>
  <w:style w:type="character" w:styleId="HTML-tastatur">
    <w:name w:val="HTML Keyboard"/>
    <w:basedOn w:val="Standardskrifttypeiafsnit"/>
    <w:semiHidden/>
    <w:unhideWhenUsed/>
    <w:rPr>
      <w:rFonts w:ascii="Courier New" w:hAnsi="Courier New" w:cs="Courier New"/>
      <w:sz w:val="20"/>
      <w:szCs w:val="20"/>
    </w:rPr>
  </w:style>
  <w:style w:type="paragraph" w:styleId="FormateretHTML">
    <w:name w:val="HTML Preformatted"/>
    <w:basedOn w:val="Normal"/>
    <w:semiHidden/>
    <w:unhideWhenUsed/>
    <w:rPr>
      <w:rFonts w:ascii="Courier New" w:hAnsi="Courier New" w:cs="Courier New"/>
    </w:rPr>
  </w:style>
  <w:style w:type="character" w:styleId="HTML-eksempel">
    <w:name w:val="HTML Sample"/>
    <w:basedOn w:val="Standardskrifttypeiafsnit"/>
    <w:semiHidden/>
    <w:unhideWhenUsed/>
    <w:rPr>
      <w:rFonts w:ascii="Courier New" w:hAnsi="Courier New" w:cs="Courier New"/>
    </w:rPr>
  </w:style>
  <w:style w:type="character" w:styleId="HTML-skrivemaskine">
    <w:name w:val="HTML Typewriter"/>
    <w:basedOn w:val="Standardskrifttypeiafsnit"/>
    <w:semiHidden/>
    <w:unhideWhenUsed/>
    <w:rPr>
      <w:rFonts w:ascii="Courier New" w:hAnsi="Courier New" w:cs="Courier New"/>
      <w:sz w:val="20"/>
      <w:szCs w:val="20"/>
    </w:rPr>
  </w:style>
  <w:style w:type="character" w:styleId="HTML-variabel">
    <w:name w:val="HTML Variable"/>
    <w:basedOn w:val="Standardskrifttypeiafsnit"/>
    <w:semiHidden/>
    <w:unhideWhenUsed/>
    <w:rPr>
      <w:i/>
      <w:iCs/>
    </w:rPr>
  </w:style>
  <w:style w:type="character" w:styleId="Hyperlink">
    <w:name w:val="Hyperlink"/>
    <w:basedOn w:val="Standardskrifttypeiafsnit"/>
    <w:uiPriority w:val="99"/>
    <w:unhideWhenUsed/>
    <w:rPr>
      <w:color w:val="0000FF"/>
      <w:u w:val="single"/>
    </w:rPr>
  </w:style>
  <w:style w:type="paragraph" w:styleId="Indeks1">
    <w:name w:val="index 1"/>
    <w:basedOn w:val="Normal"/>
    <w:next w:val="Normal"/>
    <w:autoRedefine/>
    <w:semiHidden/>
    <w:pPr>
      <w:ind w:left="230" w:hanging="230"/>
    </w:pPr>
  </w:style>
  <w:style w:type="paragraph" w:styleId="Indeks2">
    <w:name w:val="index 2"/>
    <w:basedOn w:val="Normal"/>
    <w:next w:val="Normal"/>
    <w:autoRedefine/>
    <w:semiHidden/>
    <w:pPr>
      <w:ind w:left="460" w:hanging="230"/>
    </w:pPr>
  </w:style>
  <w:style w:type="paragraph" w:styleId="Indeks3">
    <w:name w:val="index 3"/>
    <w:basedOn w:val="Normal"/>
    <w:next w:val="Normal"/>
    <w:autoRedefine/>
    <w:semiHidden/>
    <w:pPr>
      <w:ind w:left="690" w:hanging="230"/>
    </w:pPr>
  </w:style>
  <w:style w:type="paragraph" w:styleId="Indeks4">
    <w:name w:val="index 4"/>
    <w:basedOn w:val="Normal"/>
    <w:next w:val="Normal"/>
    <w:autoRedefine/>
    <w:semiHidden/>
    <w:pPr>
      <w:ind w:left="920" w:hanging="230"/>
    </w:pPr>
  </w:style>
  <w:style w:type="paragraph" w:styleId="Indeks5">
    <w:name w:val="index 5"/>
    <w:basedOn w:val="Normal"/>
    <w:next w:val="Normal"/>
    <w:autoRedefine/>
    <w:semiHidden/>
    <w:pPr>
      <w:ind w:left="1150" w:hanging="230"/>
    </w:pPr>
  </w:style>
  <w:style w:type="paragraph" w:styleId="Indeks6">
    <w:name w:val="index 6"/>
    <w:basedOn w:val="Normal"/>
    <w:next w:val="Normal"/>
    <w:autoRedefine/>
    <w:semiHidden/>
    <w:pPr>
      <w:ind w:left="1380" w:hanging="230"/>
    </w:pPr>
  </w:style>
  <w:style w:type="paragraph" w:styleId="Indeks7">
    <w:name w:val="index 7"/>
    <w:basedOn w:val="Normal"/>
    <w:next w:val="Normal"/>
    <w:autoRedefine/>
    <w:semiHidden/>
    <w:pPr>
      <w:ind w:left="1610" w:hanging="230"/>
    </w:pPr>
  </w:style>
  <w:style w:type="paragraph" w:styleId="Indeks8">
    <w:name w:val="index 8"/>
    <w:basedOn w:val="Normal"/>
    <w:next w:val="Normal"/>
    <w:autoRedefine/>
    <w:semiHidden/>
    <w:pPr>
      <w:ind w:left="1840" w:hanging="230"/>
    </w:pPr>
  </w:style>
  <w:style w:type="paragraph" w:styleId="Indeks9">
    <w:name w:val="index 9"/>
    <w:basedOn w:val="Normal"/>
    <w:next w:val="Normal"/>
    <w:autoRedefine/>
    <w:semiHidden/>
    <w:pPr>
      <w:ind w:left="2070" w:hanging="230"/>
    </w:pPr>
  </w:style>
  <w:style w:type="paragraph" w:styleId="Indeksoverskrift">
    <w:name w:val="index heading"/>
    <w:basedOn w:val="Normal"/>
    <w:next w:val="Indeks1"/>
    <w:semiHidden/>
    <w:rPr>
      <w:b/>
      <w:bCs/>
    </w:rPr>
  </w:style>
  <w:style w:type="character" w:styleId="Linjenummer">
    <w:name w:val="line number"/>
    <w:basedOn w:val="Standardskrifttypeiafsnit"/>
    <w:semiHidden/>
    <w:unhideWhenUsed/>
  </w:style>
  <w:style w:type="paragraph" w:styleId="Liste">
    <w:name w:val="List"/>
    <w:basedOn w:val="Normal"/>
    <w:semiHidden/>
    <w:unhideWhenUsed/>
    <w:pPr>
      <w:ind w:left="283" w:hanging="283"/>
    </w:pPr>
  </w:style>
  <w:style w:type="paragraph" w:styleId="Liste2">
    <w:name w:val="List 2"/>
    <w:basedOn w:val="Normal"/>
    <w:semiHidden/>
    <w:unhideWhenUsed/>
    <w:pPr>
      <w:ind w:left="566" w:hanging="283"/>
    </w:pPr>
  </w:style>
  <w:style w:type="paragraph" w:styleId="Liste3">
    <w:name w:val="List 3"/>
    <w:basedOn w:val="Normal"/>
    <w:semiHidden/>
    <w:unhideWhenUsed/>
    <w:pPr>
      <w:ind w:left="849" w:hanging="283"/>
    </w:pPr>
  </w:style>
  <w:style w:type="paragraph" w:styleId="Liste4">
    <w:name w:val="List 4"/>
    <w:basedOn w:val="Normal"/>
    <w:semiHidden/>
    <w:unhideWhenUsed/>
    <w:pPr>
      <w:ind w:left="1132" w:hanging="283"/>
    </w:pPr>
  </w:style>
  <w:style w:type="paragraph" w:styleId="Liste5">
    <w:name w:val="List 5"/>
    <w:basedOn w:val="Normal"/>
    <w:semiHidden/>
    <w:unhideWhenUsed/>
    <w:pPr>
      <w:ind w:left="1415" w:hanging="283"/>
    </w:pPr>
  </w:style>
  <w:style w:type="paragraph" w:styleId="Opstilling-punkttegn4">
    <w:name w:val="List Bullet 4"/>
    <w:basedOn w:val="Normal"/>
    <w:uiPriority w:val="4"/>
    <w:semiHidden/>
    <w:unhideWhenUsed/>
    <w:rsid w:val="001E10AC"/>
    <w:pPr>
      <w:numPr>
        <w:ilvl w:val="3"/>
        <w:numId w:val="31"/>
      </w:numPr>
    </w:pPr>
  </w:style>
  <w:style w:type="paragraph" w:styleId="Opstilling-punkttegn5">
    <w:name w:val="List Bullet 5"/>
    <w:basedOn w:val="Normal"/>
    <w:uiPriority w:val="4"/>
    <w:semiHidden/>
    <w:unhideWhenUsed/>
    <w:pPr>
      <w:numPr>
        <w:numId w:val="27"/>
      </w:numPr>
    </w:pPr>
  </w:style>
  <w:style w:type="paragraph" w:styleId="Opstilling-forts4">
    <w:name w:val="List Continue 4"/>
    <w:basedOn w:val="Normal"/>
    <w:uiPriority w:val="6"/>
    <w:semiHidden/>
    <w:unhideWhenUsed/>
    <w:pPr>
      <w:spacing w:after="120"/>
      <w:ind w:left="1132"/>
    </w:pPr>
  </w:style>
  <w:style w:type="paragraph" w:styleId="Opstilling-forts5">
    <w:name w:val="List Continue 5"/>
    <w:basedOn w:val="Normal"/>
    <w:uiPriority w:val="6"/>
    <w:semiHidden/>
    <w:unhideWhenUsed/>
    <w:pPr>
      <w:spacing w:after="120"/>
      <w:ind w:left="1415"/>
    </w:pPr>
  </w:style>
  <w:style w:type="paragraph" w:styleId="Opstilling-talellerbogst4">
    <w:name w:val="List Number 4"/>
    <w:basedOn w:val="Normal"/>
    <w:uiPriority w:val="4"/>
    <w:semiHidden/>
    <w:unhideWhenUsed/>
    <w:pPr>
      <w:numPr>
        <w:ilvl w:val="3"/>
        <w:numId w:val="34"/>
      </w:numPr>
    </w:pPr>
  </w:style>
  <w:style w:type="paragraph" w:styleId="Opstilling-talellerbogst5">
    <w:name w:val="List Number 5"/>
    <w:basedOn w:val="Normal"/>
    <w:uiPriority w:val="4"/>
    <w:semiHidden/>
    <w:unhideWhenUsed/>
    <w:pPr>
      <w:numPr>
        <w:numId w:val="29"/>
      </w:numPr>
    </w:pPr>
  </w:style>
  <w:style w:type="paragraph" w:styleId="Makrotekst">
    <w:name w:val="macro"/>
    <w:semiHidden/>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rPr>
  </w:style>
  <w:style w:type="paragraph" w:styleId="Brevhoved">
    <w:name w:val="Message Header"/>
    <w:basedOn w:val="Normal"/>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99"/>
    <w:semiHidden/>
    <w:unhideWhenUsed/>
    <w:rPr>
      <w:sz w:val="24"/>
      <w:szCs w:val="24"/>
    </w:rPr>
  </w:style>
  <w:style w:type="paragraph" w:styleId="Normalindrykning">
    <w:name w:val="Normal Indent"/>
    <w:basedOn w:val="Normal"/>
    <w:semiHidden/>
    <w:unhideWhenUsed/>
    <w:pPr>
      <w:ind w:left="425"/>
    </w:pPr>
  </w:style>
  <w:style w:type="paragraph" w:styleId="Noteoverskrift">
    <w:name w:val="Note Heading"/>
    <w:basedOn w:val="Normal"/>
    <w:next w:val="Normal"/>
    <w:semiHidden/>
    <w:unhideWhenUsed/>
  </w:style>
  <w:style w:type="character" w:styleId="Sidetal">
    <w:name w:val="page number"/>
    <w:basedOn w:val="Standardskrifttypeiafsnit"/>
    <w:semiHidden/>
    <w:unhideWhenUsed/>
  </w:style>
  <w:style w:type="paragraph" w:styleId="Almindeligtekst">
    <w:name w:val="Plain Text"/>
    <w:basedOn w:val="Normal"/>
    <w:semiHidden/>
    <w:unhideWhenUsed/>
    <w:rPr>
      <w:rFonts w:ascii="Courier New" w:hAnsi="Courier New" w:cs="Courier New"/>
    </w:rPr>
  </w:style>
  <w:style w:type="paragraph" w:styleId="Starthilsen">
    <w:name w:val="Salutation"/>
    <w:basedOn w:val="Normal"/>
    <w:next w:val="Normal"/>
    <w:semiHidden/>
    <w:unhideWhenUsed/>
  </w:style>
  <w:style w:type="character" w:styleId="Strk">
    <w:name w:val="Strong"/>
    <w:basedOn w:val="Standardskrifttypeiafsnit"/>
    <w:semiHidden/>
    <w:unhideWhenUsed/>
    <w:qFormat/>
    <w:rPr>
      <w:b/>
      <w:bCs/>
    </w:rPr>
  </w:style>
  <w:style w:type="paragraph" w:styleId="Undertitel">
    <w:name w:val="Subtitle"/>
    <w:basedOn w:val="Normal"/>
    <w:semiHidden/>
    <w:unhideWhenUsed/>
    <w:qFormat/>
    <w:pPr>
      <w:spacing w:after="60"/>
      <w:jc w:val="center"/>
      <w:outlineLvl w:val="1"/>
    </w:pPr>
    <w:rPr>
      <w:sz w:val="24"/>
      <w:szCs w:val="24"/>
    </w:rPr>
  </w:style>
  <w:style w:type="table" w:styleId="Tabel-3D-effekter1">
    <w:name w:val="Table 3D effects 1"/>
    <w:basedOn w:val="Tabel-Normal"/>
    <w:pPr>
      <w:spacing w:line="27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pPr>
      <w:spacing w:line="27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pPr>
      <w:spacing w:line="27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pPr>
      <w:spacing w:line="27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pPr>
      <w:spacing w:line="27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pPr>
      <w:spacing w:line="27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pPr>
      <w:spacing w:line="27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pPr>
      <w:spacing w:line="27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pPr>
      <w:spacing w:line="27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pPr>
      <w:spacing w:line="27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pPr>
      <w:spacing w:line="27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pPr>
      <w:spacing w:line="27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pPr>
      <w:spacing w:line="27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pPr>
      <w:spacing w:line="27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pPr>
      <w:spacing w:line="27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pPr>
      <w:spacing w:line="27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pPr>
      <w:spacing w:line="27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
    <w:name w:val="Table Grid"/>
    <w:basedOn w:val="Tabel-Norma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pPr>
      <w:spacing w:line="27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pPr>
      <w:spacing w:line="27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pPr>
      <w:spacing w:line="27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pPr>
      <w:spacing w:line="27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pPr>
      <w:spacing w:line="27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pPr>
      <w:spacing w:line="27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pPr>
      <w:spacing w:line="27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pPr>
      <w:spacing w:line="27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pPr>
      <w:spacing w:line="27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pPr>
      <w:spacing w:line="27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pPr>
      <w:spacing w:line="27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semiHidden/>
    <w:pPr>
      <w:ind w:left="230" w:hanging="230"/>
    </w:pPr>
  </w:style>
  <w:style w:type="paragraph" w:styleId="Listeoverfigurer">
    <w:name w:val="table of figures"/>
    <w:basedOn w:val="Normal"/>
    <w:next w:val="Normal"/>
    <w:semiHidden/>
    <w:rsid w:val="0051699D"/>
    <w:pPr>
      <w:tabs>
        <w:tab w:val="right" w:pos="7371"/>
      </w:tabs>
      <w:spacing w:after="40" w:line="280" w:lineRule="atLeast"/>
      <w:ind w:left="1276" w:right="1134" w:hanging="1276"/>
    </w:pPr>
    <w:rPr>
      <w:sz w:val="24"/>
    </w:rPr>
  </w:style>
  <w:style w:type="table" w:styleId="Tabel-Professionel">
    <w:name w:val="Table Professional"/>
    <w:basedOn w:val="Tabel-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pPr>
      <w:spacing w:line="27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pPr>
      <w:spacing w:line="27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pPr>
      <w:spacing w:line="27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pPr>
      <w:spacing w:line="27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pPr>
      <w:spacing w:line="27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pPr>
      <w:spacing w:line="27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pPr>
      <w:spacing w:line="27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pPr>
      <w:spacing w:line="27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semiHidden/>
    <w:unhideWhenUsed/>
    <w:qFormat/>
    <w:pPr>
      <w:spacing w:before="240" w:after="60"/>
      <w:jc w:val="center"/>
      <w:outlineLvl w:val="0"/>
    </w:pPr>
    <w:rPr>
      <w:b/>
      <w:bCs/>
      <w:kern w:val="28"/>
      <w:sz w:val="32"/>
      <w:szCs w:val="32"/>
    </w:rPr>
  </w:style>
  <w:style w:type="paragraph" w:styleId="Citatoverskrift">
    <w:name w:val="toa heading"/>
    <w:basedOn w:val="Normal"/>
    <w:next w:val="Normal"/>
    <w:semiHidden/>
    <w:pPr>
      <w:spacing w:before="120"/>
    </w:pPr>
    <w:rPr>
      <w:b/>
      <w:bCs/>
      <w:sz w:val="24"/>
      <w:szCs w:val="24"/>
    </w:rPr>
  </w:style>
  <w:style w:type="paragraph" w:styleId="Indholdsfortegnelse4">
    <w:name w:val="toc 4"/>
    <w:basedOn w:val="Indholdsfortegnelse3"/>
    <w:next w:val="Normal"/>
    <w:semiHidden/>
    <w:pPr>
      <w:spacing w:line="220" w:lineRule="exact"/>
      <w:ind w:left="1276" w:hanging="1276"/>
    </w:pPr>
    <w:rPr>
      <w:sz w:val="20"/>
    </w:rPr>
  </w:style>
  <w:style w:type="paragraph" w:styleId="Indholdsfortegnelse5">
    <w:name w:val="toc 5"/>
    <w:basedOn w:val="Indholdsfortegnelse4"/>
    <w:next w:val="Normal"/>
    <w:semiHidden/>
  </w:style>
  <w:style w:type="paragraph" w:styleId="Indholdsfortegnelse6">
    <w:name w:val="toc 6"/>
    <w:basedOn w:val="Normal"/>
    <w:next w:val="Normal"/>
    <w:autoRedefine/>
    <w:semiHidden/>
    <w:pPr>
      <w:ind w:left="1150"/>
    </w:pPr>
  </w:style>
  <w:style w:type="paragraph" w:styleId="Indholdsfortegnelse8">
    <w:name w:val="toc 8"/>
    <w:basedOn w:val="Indholdsfortegnelse7"/>
    <w:next w:val="Normal"/>
    <w:semiHidden/>
    <w:rsid w:val="0068179D"/>
    <w:pPr>
      <w:spacing w:before="0"/>
      <w:ind w:left="850" w:hanging="850"/>
    </w:pPr>
  </w:style>
  <w:style w:type="paragraph" w:styleId="Indholdsfortegnelse9">
    <w:name w:val="toc 9"/>
    <w:basedOn w:val="Indholdsfortegnelse8"/>
    <w:next w:val="Normal"/>
    <w:semiHidden/>
  </w:style>
  <w:style w:type="character" w:customStyle="1" w:styleId="SidehovedTegn">
    <w:name w:val="Sidehoved Tegn"/>
    <w:basedOn w:val="Standardskrifttypeiafsnit"/>
    <w:link w:val="Sidehoved"/>
    <w:semiHidden/>
    <w:rsid w:val="005333FA"/>
    <w:rPr>
      <w:rFonts w:ascii="Arial" w:hAnsi="Arial" w:cs="Arial"/>
      <w:caps/>
      <w:color w:val="333333"/>
      <w:sz w:val="14"/>
    </w:rPr>
  </w:style>
  <w:style w:type="paragraph" w:customStyle="1" w:styleId="ListNumberNoSpace">
    <w:name w:val="List Number NoSpace"/>
    <w:basedOn w:val="Opstilling-talellerbogst"/>
    <w:uiPriority w:val="4"/>
    <w:qFormat/>
    <w:pPr>
      <w:spacing w:after="0"/>
    </w:pPr>
  </w:style>
  <w:style w:type="paragraph" w:customStyle="1" w:styleId="ListNumber2NoSpace">
    <w:name w:val="List Number 2 NoSpace"/>
    <w:basedOn w:val="Opstilling-talellerbogst2"/>
    <w:uiPriority w:val="4"/>
    <w:qFormat/>
    <w:pPr>
      <w:spacing w:after="0"/>
      <w:ind w:left="850" w:hanging="425"/>
    </w:pPr>
  </w:style>
  <w:style w:type="paragraph" w:customStyle="1" w:styleId="ListNumber3NoSpace">
    <w:name w:val="List Number 3 NoSpace"/>
    <w:basedOn w:val="Opstilling-talellerbogst3"/>
    <w:uiPriority w:val="4"/>
    <w:qFormat/>
    <w:pPr>
      <w:spacing w:after="0"/>
    </w:pPr>
  </w:style>
  <w:style w:type="paragraph" w:customStyle="1" w:styleId="TableNoSpace">
    <w:name w:val="Table NoSpace"/>
    <w:basedOn w:val="Table"/>
    <w:uiPriority w:val="8"/>
    <w:semiHidden/>
    <w:unhideWhenUsed/>
    <w:qFormat/>
    <w:pPr>
      <w:spacing w:after="60"/>
    </w:pPr>
  </w:style>
  <w:style w:type="paragraph" w:customStyle="1" w:styleId="FrontPageImage">
    <w:name w:val="FrontPageImage"/>
    <w:basedOn w:val="Normal"/>
    <w:next w:val="Brdtekst"/>
    <w:uiPriority w:val="11"/>
    <w:semiHidden/>
    <w:qFormat/>
    <w:pPr>
      <w:spacing w:before="840"/>
      <w:ind w:left="-1474"/>
    </w:pPr>
  </w:style>
  <w:style w:type="numbering" w:customStyle="1" w:styleId="CowiHeadings">
    <w:name w:val="CowiHeadings"/>
    <w:basedOn w:val="Ingenoversigt"/>
    <w:uiPriority w:val="99"/>
    <w:rsid w:val="003D4F12"/>
    <w:pPr>
      <w:numPr>
        <w:numId w:val="50"/>
      </w:numPr>
    </w:pPr>
  </w:style>
  <w:style w:type="table" w:customStyle="1" w:styleId="CowiTableGrid">
    <w:name w:val="Cowi Table Grid"/>
    <w:basedOn w:val="Tabel-Gitter5"/>
    <w:uiPriority w:val="99"/>
    <w:rsid w:val="000166BE"/>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color w:val="F04E23"/>
      </w:rPr>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el-Gitter6"/>
    <w:uiPriority w:val="99"/>
    <w:rsid w:val="000166BE"/>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color w:val="F04E23"/>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Ingenoversigt"/>
    <w:uiPriority w:val="99"/>
    <w:rsid w:val="000635AD"/>
    <w:pPr>
      <w:numPr>
        <w:numId w:val="36"/>
      </w:numPr>
    </w:pPr>
  </w:style>
  <w:style w:type="numbering" w:customStyle="1" w:styleId="CowiTableNumberList">
    <w:name w:val="CowiTableNumberList"/>
    <w:basedOn w:val="Ingenoversigt"/>
    <w:uiPriority w:val="99"/>
    <w:pPr>
      <w:numPr>
        <w:numId w:val="37"/>
      </w:numPr>
    </w:pPr>
  </w:style>
  <w:style w:type="paragraph" w:customStyle="1" w:styleId="TableBullet">
    <w:name w:val="Table Bullet"/>
    <w:basedOn w:val="TableText"/>
    <w:uiPriority w:val="7"/>
    <w:qFormat/>
    <w:rsid w:val="000635AD"/>
    <w:pPr>
      <w:numPr>
        <w:numId w:val="36"/>
      </w:numPr>
    </w:pPr>
  </w:style>
  <w:style w:type="paragraph" w:customStyle="1" w:styleId="TableBullet2">
    <w:name w:val="Table Bullet 2"/>
    <w:basedOn w:val="TableBullet"/>
    <w:uiPriority w:val="7"/>
    <w:qFormat/>
    <w:pPr>
      <w:numPr>
        <w:ilvl w:val="1"/>
      </w:numPr>
    </w:pPr>
  </w:style>
  <w:style w:type="paragraph" w:customStyle="1" w:styleId="TableBulletNoSpace">
    <w:name w:val="Table Bullet NoSpace"/>
    <w:basedOn w:val="TableBullet"/>
    <w:uiPriority w:val="7"/>
    <w:qFormat/>
    <w:pPr>
      <w:spacing w:after="0"/>
    </w:pPr>
  </w:style>
  <w:style w:type="paragraph" w:customStyle="1" w:styleId="TableBullet3">
    <w:name w:val="Table Bullet 3"/>
    <w:basedOn w:val="TableBullet2"/>
    <w:uiPriority w:val="7"/>
    <w:qFormat/>
    <w:pPr>
      <w:numPr>
        <w:ilvl w:val="2"/>
      </w:numPr>
    </w:pPr>
  </w:style>
  <w:style w:type="paragraph" w:customStyle="1" w:styleId="TableBullet2NoSpace">
    <w:name w:val="Table Bullet 2 NoSpace"/>
    <w:basedOn w:val="TableBullet2"/>
    <w:uiPriority w:val="7"/>
    <w:qFormat/>
    <w:pPr>
      <w:spacing w:after="0"/>
      <w:ind w:left="568" w:hanging="284"/>
    </w:pPr>
  </w:style>
  <w:style w:type="paragraph" w:customStyle="1" w:styleId="TableBullet3NoSpace">
    <w:name w:val="Table Bullet 3 NoSpace"/>
    <w:basedOn w:val="TableBullet3"/>
    <w:uiPriority w:val="7"/>
    <w:qFormat/>
    <w:pPr>
      <w:spacing w:after="0"/>
    </w:pPr>
  </w:style>
  <w:style w:type="paragraph" w:customStyle="1" w:styleId="TableContinue0">
    <w:name w:val="Table Continue 0"/>
    <w:basedOn w:val="TableText"/>
    <w:uiPriority w:val="7"/>
    <w:qFormat/>
  </w:style>
  <w:style w:type="paragraph" w:customStyle="1" w:styleId="TableContinue">
    <w:name w:val="Table Continue"/>
    <w:basedOn w:val="TableContinue0"/>
    <w:uiPriority w:val="7"/>
    <w:qFormat/>
    <w:pPr>
      <w:ind w:left="284"/>
    </w:pPr>
  </w:style>
  <w:style w:type="paragraph" w:customStyle="1" w:styleId="TableContinue0NoSpace">
    <w:name w:val="Table Continue 0 NoSpace"/>
    <w:basedOn w:val="TableContinue0"/>
    <w:uiPriority w:val="7"/>
    <w:qFormat/>
    <w:pPr>
      <w:spacing w:after="0"/>
    </w:pPr>
  </w:style>
  <w:style w:type="paragraph" w:customStyle="1" w:styleId="TableContinue2">
    <w:name w:val="Table Continue 2"/>
    <w:basedOn w:val="TableContinue"/>
    <w:uiPriority w:val="7"/>
    <w:qFormat/>
    <w:pPr>
      <w:ind w:left="567"/>
    </w:pPr>
  </w:style>
  <w:style w:type="paragraph" w:customStyle="1" w:styleId="TableContinue2NoSpace">
    <w:name w:val="Table Continue 2 NoSpace"/>
    <w:basedOn w:val="TableContinue2"/>
    <w:uiPriority w:val="7"/>
    <w:qFormat/>
    <w:pPr>
      <w:spacing w:after="0"/>
    </w:pPr>
  </w:style>
  <w:style w:type="paragraph" w:customStyle="1" w:styleId="TableContinue3">
    <w:name w:val="Table Continue 3"/>
    <w:basedOn w:val="TableContinue2"/>
    <w:uiPriority w:val="7"/>
    <w:qFormat/>
    <w:pPr>
      <w:ind w:left="851"/>
    </w:pPr>
  </w:style>
  <w:style w:type="paragraph" w:customStyle="1" w:styleId="TableContinue3NoSpace">
    <w:name w:val="Table Continue 3 NoSpace"/>
    <w:basedOn w:val="TableContinue3"/>
    <w:uiPriority w:val="7"/>
    <w:qFormat/>
    <w:pPr>
      <w:spacing w:after="0"/>
    </w:pPr>
  </w:style>
  <w:style w:type="paragraph" w:customStyle="1" w:styleId="TableContinueNoSpace">
    <w:name w:val="Table Continue NoSpace"/>
    <w:basedOn w:val="TableContinue"/>
    <w:uiPriority w:val="7"/>
    <w:qFormat/>
    <w:pPr>
      <w:spacing w:after="0"/>
    </w:pPr>
  </w:style>
  <w:style w:type="paragraph" w:customStyle="1" w:styleId="TableNumber">
    <w:name w:val="Table Number"/>
    <w:basedOn w:val="TableText"/>
    <w:uiPriority w:val="7"/>
    <w:qFormat/>
    <w:pPr>
      <w:numPr>
        <w:numId w:val="49"/>
      </w:numPr>
    </w:pPr>
  </w:style>
  <w:style w:type="paragraph" w:customStyle="1" w:styleId="TableNumber2">
    <w:name w:val="Table Number 2"/>
    <w:basedOn w:val="TableNumber"/>
    <w:uiPriority w:val="7"/>
    <w:qFormat/>
    <w:pPr>
      <w:numPr>
        <w:ilvl w:val="1"/>
      </w:numPr>
    </w:pPr>
  </w:style>
  <w:style w:type="paragraph" w:customStyle="1" w:styleId="TableNumberNoSpace">
    <w:name w:val="Table Number NoSpace"/>
    <w:basedOn w:val="TableNumber"/>
    <w:uiPriority w:val="7"/>
    <w:qFormat/>
    <w:pPr>
      <w:spacing w:after="0"/>
    </w:pPr>
  </w:style>
  <w:style w:type="paragraph" w:customStyle="1" w:styleId="TableNumber3">
    <w:name w:val="Table Number 3"/>
    <w:basedOn w:val="TableNumber2"/>
    <w:uiPriority w:val="7"/>
    <w:qFormat/>
    <w:pPr>
      <w:numPr>
        <w:ilvl w:val="2"/>
      </w:numPr>
    </w:pPr>
  </w:style>
  <w:style w:type="paragraph" w:customStyle="1" w:styleId="TableNumber2NoSpace">
    <w:name w:val="Table Number 2 NoSpace"/>
    <w:basedOn w:val="TableNumber2"/>
    <w:uiPriority w:val="7"/>
    <w:qFormat/>
    <w:pPr>
      <w:spacing w:after="0"/>
      <w:ind w:left="568" w:hanging="284"/>
    </w:pPr>
  </w:style>
  <w:style w:type="paragraph" w:customStyle="1" w:styleId="TableNumber3NoSpace">
    <w:name w:val="Table Number 3 NoSpace"/>
    <w:basedOn w:val="TableNumber3"/>
    <w:uiPriority w:val="7"/>
    <w:qFormat/>
    <w:pPr>
      <w:spacing w:after="0"/>
    </w:pPr>
  </w:style>
  <w:style w:type="paragraph" w:customStyle="1" w:styleId="TableText">
    <w:name w:val="Table Text"/>
    <w:basedOn w:val="Normal"/>
    <w:uiPriority w:val="7"/>
    <w:qFormat/>
    <w:rsid w:val="000635AD"/>
    <w:pPr>
      <w:spacing w:after="120" w:line="220" w:lineRule="atLeast"/>
    </w:pPr>
    <w:rPr>
      <w:sz w:val="16"/>
      <w:szCs w:val="23"/>
    </w:rPr>
  </w:style>
  <w:style w:type="paragraph" w:customStyle="1" w:styleId="TableTextNoSpace">
    <w:name w:val="Table Text NoSpace"/>
    <w:basedOn w:val="TableText"/>
    <w:uiPriority w:val="7"/>
    <w:qFormat/>
    <w:pPr>
      <w:spacing w:after="0"/>
    </w:pPr>
  </w:style>
  <w:style w:type="paragraph" w:customStyle="1" w:styleId="HeaderCowiAddress">
    <w:name w:val="HeaderCowiAddress"/>
    <w:basedOn w:val="Normal"/>
    <w:uiPriority w:val="7"/>
    <w:semiHidden/>
    <w:qFormat/>
    <w:rsid w:val="00C94783"/>
    <w:pPr>
      <w:framePr w:w="3402" w:wrap="around" w:vAnchor="page" w:hAnchor="page" w:xAlign="right" w:y="681"/>
      <w:tabs>
        <w:tab w:val="right" w:pos="1077"/>
        <w:tab w:val="left" w:pos="1134"/>
      </w:tabs>
      <w:spacing w:line="220" w:lineRule="exact"/>
      <w:ind w:left="1134" w:hanging="1134"/>
    </w:pPr>
    <w:rPr>
      <w:noProof/>
      <w:color w:val="58595B"/>
      <w:sz w:val="15"/>
    </w:rPr>
  </w:style>
  <w:style w:type="paragraph" w:customStyle="1" w:styleId="HeaderCowiLogo">
    <w:name w:val="HeaderCowiLogo"/>
    <w:basedOn w:val="HeaderCowiAddress"/>
    <w:next w:val="HeaderCowiAddress"/>
    <w:uiPriority w:val="7"/>
    <w:semiHidden/>
    <w:qFormat/>
    <w:rsid w:val="000708F6"/>
    <w:pPr>
      <w:framePr w:wrap="around"/>
      <w:tabs>
        <w:tab w:val="clear" w:pos="1077"/>
        <w:tab w:val="clear" w:pos="1134"/>
      </w:tabs>
      <w:spacing w:after="658" w:line="240" w:lineRule="atLeast"/>
      <w:ind w:left="567" w:firstLine="0"/>
    </w:pPr>
  </w:style>
  <w:style w:type="character" w:customStyle="1" w:styleId="CowiLabel">
    <w:name w:val="Cowi Label"/>
    <w:basedOn w:val="Standardskrifttypeiafsnit"/>
    <w:uiPriority w:val="1"/>
    <w:semiHidden/>
    <w:rsid w:val="00B70A61"/>
    <w:rPr>
      <w:rFonts w:ascii="Arial" w:hAnsi="Arial" w:cs="Arial"/>
      <w:caps/>
      <w:smallCaps w:val="0"/>
      <w:color w:val="F04E23"/>
      <w:sz w:val="11"/>
    </w:rPr>
  </w:style>
  <w:style w:type="paragraph" w:customStyle="1" w:styleId="FooterCowiLogo">
    <w:name w:val="FooterCowiLogo"/>
    <w:basedOn w:val="Normal"/>
    <w:uiPriority w:val="7"/>
    <w:semiHidden/>
    <w:qFormat/>
    <w:rsid w:val="00BC16C5"/>
    <w:pPr>
      <w:framePr w:w="11057" w:h="1361" w:hRule="exact" w:wrap="around" w:vAnchor="page" w:hAnchor="page" w:xAlign="right" w:yAlign="bottom"/>
    </w:pPr>
    <w:rPr>
      <w:noProof/>
    </w:rPr>
  </w:style>
  <w:style w:type="character" w:customStyle="1" w:styleId="CowiOrange">
    <w:name w:val="CowiOrange"/>
    <w:basedOn w:val="Standardskrifttypeiafsnit"/>
    <w:uiPriority w:val="1"/>
    <w:semiHidden/>
    <w:rsid w:val="00EC14C3"/>
    <w:rPr>
      <w:color w:val="F04E23"/>
    </w:rPr>
  </w:style>
  <w:style w:type="paragraph" w:customStyle="1" w:styleId="HeaderEvenIndent">
    <w:name w:val="HeaderEvenIndent"/>
    <w:basedOn w:val="HeaderEven"/>
    <w:next w:val="HeaderEven"/>
    <w:uiPriority w:val="7"/>
    <w:semiHidden/>
    <w:qFormat/>
    <w:rsid w:val="005D7621"/>
  </w:style>
  <w:style w:type="paragraph" w:customStyle="1" w:styleId="HeaderIndent">
    <w:name w:val="HeaderIndent"/>
    <w:basedOn w:val="Sidehoved"/>
    <w:link w:val="HeaderIndentChar"/>
    <w:uiPriority w:val="7"/>
    <w:semiHidden/>
    <w:qFormat/>
    <w:rsid w:val="005333FA"/>
    <w:pPr>
      <w:ind w:right="454"/>
    </w:pPr>
  </w:style>
  <w:style w:type="character" w:customStyle="1" w:styleId="HeaderIndentChar">
    <w:name w:val="HeaderIndent Char"/>
    <w:basedOn w:val="SidehovedTegn"/>
    <w:link w:val="HeaderIndent"/>
    <w:uiPriority w:val="7"/>
    <w:semiHidden/>
    <w:rsid w:val="005333FA"/>
    <w:rPr>
      <w:rFonts w:ascii="Verdana" w:hAnsi="Verdana" w:cs="Arial"/>
      <w:caps/>
      <w:color w:val="333333"/>
      <w:sz w:val="14"/>
    </w:rPr>
  </w:style>
  <w:style w:type="paragraph" w:customStyle="1" w:styleId="FooterEven">
    <w:name w:val="FooterEven"/>
    <w:basedOn w:val="Normal"/>
    <w:uiPriority w:val="7"/>
    <w:qFormat/>
    <w:rsid w:val="00053802"/>
    <w:pPr>
      <w:spacing w:line="160" w:lineRule="atLeast"/>
      <w:ind w:left="-2268"/>
    </w:pPr>
    <w:rPr>
      <w:noProof/>
      <w:sz w:val="11"/>
    </w:rPr>
  </w:style>
  <w:style w:type="paragraph" w:customStyle="1" w:styleId="NoteHead">
    <w:name w:val="NoteHead"/>
    <w:basedOn w:val="Normal"/>
    <w:uiPriority w:val="7"/>
    <w:semiHidden/>
    <w:qFormat/>
    <w:rsid w:val="00473AE2"/>
    <w:pPr>
      <w:framePr w:w="6804" w:h="3572" w:wrap="notBeside" w:vAnchor="page" w:hAnchor="margin" w:x="-2267" w:y="1986"/>
      <w:spacing w:line="220" w:lineRule="atLeast"/>
    </w:pPr>
    <w:rPr>
      <w:rFonts w:ascii="Verdana" w:hAnsi="Verdana"/>
      <w:caps/>
      <w:sz w:val="18"/>
      <w:szCs w:val="18"/>
    </w:rPr>
  </w:style>
  <w:style w:type="paragraph" w:styleId="Korrektur">
    <w:name w:val="Revision"/>
    <w:hidden/>
    <w:uiPriority w:val="99"/>
    <w:semiHidden/>
    <w:rsid w:val="00EE3BA6"/>
    <w:rPr>
      <w:rFonts w:ascii="Arial" w:hAnsi="Arial" w:cs="Arial"/>
    </w:rPr>
  </w:style>
  <w:style w:type="character" w:customStyle="1" w:styleId="apple-converted-space">
    <w:name w:val="apple-converted-space"/>
    <w:basedOn w:val="Standardskrifttypeiafsnit"/>
    <w:rsid w:val="00EA3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5813903">
      <w:bodyDiv w:val="1"/>
      <w:marLeft w:val="0"/>
      <w:marRight w:val="0"/>
      <w:marTop w:val="0"/>
      <w:marBottom w:val="0"/>
      <w:divBdr>
        <w:top w:val="none" w:sz="0" w:space="0" w:color="auto"/>
        <w:left w:val="none" w:sz="0" w:space="0" w:color="auto"/>
        <w:bottom w:val="none" w:sz="0" w:space="0" w:color="auto"/>
        <w:right w:val="none" w:sz="0" w:space="0" w:color="auto"/>
      </w:divBdr>
    </w:div>
    <w:div w:id="174321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hyperlink" Target="http://naturstyrelsen.dk/media/nst/Attachments/HabitatUdpgr201231Dec.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header" Target="header6.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www.dmu.dk/Pub/FR63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dce2.au.dk/pub/SR115.pdf" TargetMode="External"/><Relationship Id="rId35"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templates\Cowi\Cowi_Report.DOTM" TargetMode="External"/></Relationships>
</file>

<file path=word/theme/theme1.xml><?xml version="1.0" encoding="utf-8"?>
<a:theme xmlns:a="http://schemas.openxmlformats.org/drawingml/2006/main" name="Presentation2">
  <a:themeElements>
    <a:clrScheme name="COWI">
      <a:dk1>
        <a:srgbClr val="1F1F1F"/>
      </a:dk1>
      <a:lt1>
        <a:srgbClr val="FFFFFF"/>
      </a:lt1>
      <a:dk2>
        <a:srgbClr val="58595B"/>
      </a:dk2>
      <a:lt2>
        <a:srgbClr val="D0C7BD"/>
      </a:lt2>
      <a:accent1>
        <a:srgbClr val="80776F"/>
      </a:accent1>
      <a:accent2>
        <a:srgbClr val="D0C7BD"/>
      </a:accent2>
      <a:accent3>
        <a:srgbClr val="F04E23"/>
      </a:accent3>
      <a:accent4>
        <a:srgbClr val="9DB8AF"/>
      </a:accent4>
      <a:accent5>
        <a:srgbClr val="7D8897"/>
      </a:accent5>
      <a:accent6>
        <a:srgbClr val="435A69"/>
      </a:accent6>
      <a:hlink>
        <a:srgbClr val="F04E23"/>
      </a:hlink>
      <a:folHlink>
        <a:srgbClr val="867E78"/>
      </a:folHlink>
    </a:clrScheme>
    <a:fontScheme name="COWI">
      <a:majorFont>
        <a:latin typeface="Verdana"/>
        <a:ea typeface=""/>
        <a:cs typeface=""/>
      </a:majorFont>
      <a:minorFont>
        <a:latin typeface="Verdana"/>
        <a:ea typeface=""/>
        <a:cs typeface=""/>
      </a:minorFont>
    </a:fontScheme>
    <a:fmtScheme name="COWI">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Presentation2" id="{E07DC475-27EB-4B1E-8E6F-5D298002E206}" vid="{447C784D-643A-4199-AB62-8F304DBECBA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B5EC5F424DF0438C02C794499518FB" ma:contentTypeVersion="0" ma:contentTypeDescription="Create a new document." ma:contentTypeScope="" ma:versionID="5ab65c60870f55e49362d4efb7fd413f">
  <xsd:schema xmlns:xsd="http://www.w3.org/2001/XMLSchema" xmlns:xs="http://www.w3.org/2001/XMLSchema" xmlns:p="http://schemas.microsoft.com/office/2006/metadata/properties" targetNamespace="http://schemas.microsoft.com/office/2006/metadata/properties" ma:root="true" ma:fieldsID="62ea347ee6c5493b9e14b1c149bab3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FFA7E-0394-4F28-B592-1BC1DF528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BFD1AF4-97F6-4F08-8B33-DB25656A5207}">
  <ds:schemaRefs>
    <ds:schemaRef ds:uri="http://schemas.microsoft.com/office/2006/metadata/properties"/>
  </ds:schemaRefs>
</ds:datastoreItem>
</file>

<file path=customXml/itemProps3.xml><?xml version="1.0" encoding="utf-8"?>
<ds:datastoreItem xmlns:ds="http://schemas.openxmlformats.org/officeDocument/2006/customXml" ds:itemID="{EFB192E0-A1E0-4633-8395-EB2E24FE2F88}">
  <ds:schemaRefs>
    <ds:schemaRef ds:uri="http://schemas.microsoft.com/sharepoint/v3/contenttype/forms"/>
  </ds:schemaRefs>
</ds:datastoreItem>
</file>

<file path=customXml/itemProps4.xml><?xml version="1.0" encoding="utf-8"?>
<ds:datastoreItem xmlns:ds="http://schemas.openxmlformats.org/officeDocument/2006/customXml" ds:itemID="{388E37B5-F63E-446E-8CB7-A5602FD4F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Cowi_Report</Template>
  <TotalTime>0</TotalTime>
  <Pages>1</Pages>
  <Words>4461</Words>
  <Characters>27213</Characters>
  <Application>Microsoft Office Word</Application>
  <DocSecurity>0</DocSecurity>
  <Lines>226</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Foreløbig konsekvensvurdering af udskiftning af vindmøllerne ved ???</vt:lpstr>
      <vt:lpstr>Foreløbig konsekvensvurdering af udskiftning af vindmøllerne ved ???</vt:lpstr>
    </vt:vector>
  </TitlesOfParts>
  <Company>COWI</Company>
  <LinksUpToDate>false</LinksUpToDate>
  <CharactersWithSpaces>31611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Foreløbig konsekvensvurdering af udskiftning af vindmøllerne ved ???</dc:title>
  <dc:subject/>
  <dc:creator>Kresten Skands Vistisen</dc:creator>
  <cp:keywords/>
  <dc:description/>
  <cp:lastModifiedBy>Peter B Knudsen</cp:lastModifiedBy>
  <cp:revision>3</cp:revision>
  <cp:lastPrinted>2015-01-07T14:20:00Z</cp:lastPrinted>
  <dcterms:created xsi:type="dcterms:W3CDTF">2015-01-15T06:21:00Z</dcterms:created>
  <dcterms:modified xsi:type="dcterms:W3CDTF">2015-01-15T06:21:00Z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wiSubject">
    <vt:lpwstr> </vt:lpwstr>
  </property>
  <property fmtid="{D5CDD505-2E9C-101B-9397-08002B2CF9AE}" pid="3" name="CowiTitle">
    <vt:lpwstr> </vt:lpwstr>
  </property>
  <property fmtid="{D5CDD505-2E9C-101B-9397-08002B2CF9AE}" pid="4" name="CowiDate">
    <vt:lpwstr> </vt:lpwstr>
  </property>
  <property fmtid="{D5CDD505-2E9C-101B-9397-08002B2CF9AE}" pid="5" name="CowiClient">
    <vt:lpwstr> </vt:lpwstr>
  </property>
  <property fmtid="{D5CDD505-2E9C-101B-9397-08002B2CF9AE}" pid="6" name="CowiAuthor">
    <vt:lpwstr> </vt:lpwstr>
  </property>
  <property fmtid="{D5CDD505-2E9C-101B-9397-08002B2CF9AE}" pid="7" name="Client">
    <vt:lpwstr> </vt:lpwstr>
  </property>
  <property fmtid="{D5CDD505-2E9C-101B-9397-08002B2CF9AE}" pid="8" name="Date completed">
    <vt:lpwstr> </vt:lpwstr>
  </property>
  <property fmtid="{D5CDD505-2E9C-101B-9397-08002B2CF9AE}" pid="9" name="Project">
    <vt:lpwstr> </vt:lpwstr>
  </property>
  <property fmtid="{D5CDD505-2E9C-101B-9397-08002B2CF9AE}" pid="10" name="Language">
    <vt:lpwstr>Danish</vt:lpwstr>
  </property>
  <property fmtid="{D5CDD505-2E9C-101B-9397-08002B2CF9AE}" pid="11" name="Office">
    <vt:lpwstr>Lyngby</vt:lpwstr>
  </property>
  <property fmtid="{D5CDD505-2E9C-101B-9397-08002B2CF9AE}" pid="12" name="CowiChecker">
    <vt:lpwstr> </vt:lpwstr>
  </property>
  <property fmtid="{D5CDD505-2E9C-101B-9397-08002B2CF9AE}" pid="13" name="CowiApprover">
    <vt:lpwstr> </vt:lpwstr>
  </property>
  <property fmtid="{D5CDD505-2E9C-101B-9397-08002B2CF9AE}" pid="14" name="CowiDocNo">
    <vt:lpwstr> </vt:lpwstr>
  </property>
  <property fmtid="{D5CDD505-2E9C-101B-9397-08002B2CF9AE}" pid="15" name="CowiRevNo">
    <vt:lpwstr/>
  </property>
  <property fmtid="{D5CDD505-2E9C-101B-9397-08002B2CF9AE}" pid="16" name="Approved by">
    <vt:lpwstr> </vt:lpwstr>
  </property>
  <property fmtid="{D5CDD505-2E9C-101B-9397-08002B2CF9AE}" pid="17" name="Checked by">
    <vt:lpwstr> </vt:lpwstr>
  </property>
  <property fmtid="{D5CDD505-2E9C-101B-9397-08002B2CF9AE}" pid="18" name="Revision no">
    <vt:lpwstr> </vt:lpwstr>
  </property>
  <property fmtid="{D5CDD505-2E9C-101B-9397-08002B2CF9AE}" pid="19" name="Document no">
    <vt:lpwstr> </vt:lpwstr>
  </property>
  <property fmtid="{D5CDD505-2E9C-101B-9397-08002B2CF9AE}" pid="20" name="ContentType">
    <vt:lpwstr>COWI Report</vt:lpwstr>
  </property>
  <property fmtid="{D5CDD505-2E9C-101B-9397-08002B2CF9AE}" pid="21" name="PortalLanguage">
    <vt:lpwstr> </vt:lpwstr>
  </property>
  <property fmtid="{D5CDD505-2E9C-101B-9397-08002B2CF9AE}" pid="22" name="PortalAuthor">
    <vt:lpwstr> </vt:lpwstr>
  </property>
  <property fmtid="{D5CDD505-2E9C-101B-9397-08002B2CF9AE}" pid="23" name="Version no">
    <vt:lpwstr> </vt:lpwstr>
  </property>
  <property fmtid="{D5CDD505-2E9C-101B-9397-08002B2CF9AE}" pid="24" name="CowiVerNo">
    <vt:lpwstr> </vt:lpwstr>
  </property>
  <property fmtid="{D5CDD505-2E9C-101B-9397-08002B2CF9AE}" pid="25" name="ContentTypeId">
    <vt:lpwstr>0x010100C4B5EC5F424DF0438C02C794499518FB</vt:lpwstr>
  </property>
  <property fmtid="{D5CDD505-2E9C-101B-9397-08002B2CF9AE}" pid="27" name="_NewReviewCycle">
    <vt:lpwstr/>
  </property>
</Properties>
</file>